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00D" w:rsidRDefault="00462F9C" w:rsidP="00332D83">
      <w:pPr>
        <w:tabs>
          <w:tab w:val="left" w:pos="284"/>
        </w:tabs>
        <w:rPr>
          <w:rFonts w:ascii="Times New Roman" w:hAnsi="Times New Roman" w:cs="Times New Roman"/>
          <w:sz w:val="32"/>
          <w:szCs w:val="32"/>
        </w:rPr>
      </w:pPr>
      <w:r w:rsidRPr="00FB16E4">
        <w:rPr>
          <w:rFonts w:ascii="Times New Roman" w:hAnsi="Times New Roman" w:cs="Times New Roman"/>
          <w:sz w:val="32"/>
          <w:szCs w:val="32"/>
        </w:rPr>
        <w:t>Poder Monetário Estrutural:</w:t>
      </w:r>
      <w:r w:rsidR="00332D83" w:rsidRPr="00FB16E4">
        <w:rPr>
          <w:rFonts w:ascii="Times New Roman" w:hAnsi="Times New Roman" w:cs="Times New Roman"/>
          <w:sz w:val="32"/>
          <w:szCs w:val="32"/>
        </w:rPr>
        <w:t xml:space="preserve"> </w:t>
      </w:r>
      <w:r w:rsidR="00415AC4">
        <w:rPr>
          <w:rFonts w:ascii="Times New Roman" w:hAnsi="Times New Roman" w:cs="Times New Roman"/>
          <w:sz w:val="32"/>
          <w:szCs w:val="32"/>
        </w:rPr>
        <w:t>do padrão ouro ao dólar flexível</w:t>
      </w:r>
    </w:p>
    <w:p w:rsidR="00F12942" w:rsidRDefault="00462F9C" w:rsidP="00E55B3B">
      <w:pPr>
        <w:spacing w:line="360" w:lineRule="auto"/>
        <w:ind w:left="4248" w:firstLine="5"/>
        <w:rPr>
          <w:rFonts w:ascii="Times New Roman" w:hAnsi="Times New Roman" w:cs="Times New Roman"/>
          <w:sz w:val="24"/>
          <w:szCs w:val="24"/>
        </w:rPr>
      </w:pPr>
      <w:r w:rsidRPr="00E55B3B">
        <w:rPr>
          <w:rFonts w:ascii="Times New Roman" w:hAnsi="Times New Roman" w:cs="Times New Roman"/>
          <w:sz w:val="24"/>
          <w:szCs w:val="24"/>
        </w:rPr>
        <w:t xml:space="preserve">               </w:t>
      </w:r>
    </w:p>
    <w:p w:rsidR="00E533AE" w:rsidRDefault="00E533AE" w:rsidP="00276F21">
      <w:pPr>
        <w:spacing w:line="360" w:lineRule="auto"/>
        <w:ind w:firstLine="5"/>
        <w:rPr>
          <w:rFonts w:ascii="Times New Roman" w:hAnsi="Times New Roman" w:cs="Times New Roman"/>
          <w:b/>
          <w:sz w:val="24"/>
          <w:szCs w:val="24"/>
        </w:rPr>
      </w:pPr>
      <w:r>
        <w:rPr>
          <w:rFonts w:ascii="Times New Roman" w:hAnsi="Times New Roman" w:cs="Times New Roman"/>
          <w:b/>
          <w:sz w:val="24"/>
          <w:szCs w:val="24"/>
        </w:rPr>
        <w:t>Resumo</w:t>
      </w:r>
    </w:p>
    <w:p w:rsidR="00E533AE" w:rsidRDefault="00E533AE" w:rsidP="00E55B3B">
      <w:pPr>
        <w:spacing w:line="240" w:lineRule="auto"/>
        <w:jc w:val="both"/>
        <w:rPr>
          <w:rFonts w:ascii="Times New Roman" w:hAnsi="Times New Roman" w:cs="Times New Roman"/>
          <w:sz w:val="24"/>
          <w:szCs w:val="24"/>
        </w:rPr>
      </w:pPr>
      <w:r>
        <w:rPr>
          <w:rFonts w:ascii="Times New Roman" w:hAnsi="Times New Roman" w:cs="Times New Roman"/>
          <w:sz w:val="24"/>
          <w:szCs w:val="24"/>
        </w:rPr>
        <w:t>As necessidades de financiamento das guerras no século XVII levaram a Inglaterra a realizar inovações financeiras importantes</w:t>
      </w:r>
      <w:r w:rsidR="00F12942">
        <w:rPr>
          <w:rFonts w:ascii="Times New Roman" w:hAnsi="Times New Roman" w:cs="Times New Roman"/>
          <w:sz w:val="24"/>
          <w:szCs w:val="24"/>
        </w:rPr>
        <w:t>,</w:t>
      </w:r>
      <w:r>
        <w:rPr>
          <w:rFonts w:ascii="Times New Roman" w:hAnsi="Times New Roman" w:cs="Times New Roman"/>
          <w:sz w:val="24"/>
          <w:szCs w:val="24"/>
        </w:rPr>
        <w:t xml:space="preserve"> que deram lugar à Revolução Financeir</w:t>
      </w:r>
      <w:r w:rsidR="00B94C2E">
        <w:rPr>
          <w:rFonts w:ascii="Times New Roman" w:hAnsi="Times New Roman" w:cs="Times New Roman"/>
          <w:sz w:val="24"/>
          <w:szCs w:val="24"/>
        </w:rPr>
        <w:t>a. Esse conjunto de mecanismos -</w:t>
      </w:r>
      <w:r>
        <w:rPr>
          <w:rFonts w:ascii="Times New Roman" w:hAnsi="Times New Roman" w:cs="Times New Roman"/>
          <w:sz w:val="24"/>
          <w:szCs w:val="24"/>
        </w:rPr>
        <w:t xml:space="preserve"> dívida pública de longo prazo, banco central e </w:t>
      </w:r>
      <w:r w:rsidR="00B7678D">
        <w:rPr>
          <w:rFonts w:ascii="Times New Roman" w:hAnsi="Times New Roman" w:cs="Times New Roman"/>
          <w:sz w:val="24"/>
          <w:szCs w:val="24"/>
        </w:rPr>
        <w:t xml:space="preserve">mercados secundários relevantes </w:t>
      </w:r>
      <w:r>
        <w:rPr>
          <w:rFonts w:ascii="Times New Roman" w:hAnsi="Times New Roman" w:cs="Times New Roman"/>
          <w:sz w:val="24"/>
          <w:szCs w:val="24"/>
        </w:rPr>
        <w:t xml:space="preserve">- </w:t>
      </w:r>
      <w:r w:rsidR="00470EFA">
        <w:rPr>
          <w:rFonts w:ascii="Times New Roman" w:hAnsi="Times New Roman" w:cs="Times New Roman"/>
          <w:sz w:val="24"/>
          <w:szCs w:val="24"/>
        </w:rPr>
        <w:t>permitiram</w:t>
      </w:r>
      <w:r>
        <w:rPr>
          <w:rFonts w:ascii="Times New Roman" w:hAnsi="Times New Roman" w:cs="Times New Roman"/>
          <w:sz w:val="24"/>
          <w:szCs w:val="24"/>
        </w:rPr>
        <w:t xml:space="preserve"> à Grã-Bretanha </w:t>
      </w:r>
      <w:r w:rsidR="00470EFA">
        <w:rPr>
          <w:rFonts w:ascii="Times New Roman" w:hAnsi="Times New Roman" w:cs="Times New Roman"/>
          <w:sz w:val="24"/>
          <w:szCs w:val="24"/>
        </w:rPr>
        <w:t xml:space="preserve">desempenhar um papel central no sistema financeiro internacional </w:t>
      </w:r>
      <w:r>
        <w:rPr>
          <w:rFonts w:ascii="Times New Roman" w:hAnsi="Times New Roman" w:cs="Times New Roman"/>
          <w:sz w:val="24"/>
          <w:szCs w:val="24"/>
        </w:rPr>
        <w:t>até a 1ª Grande Guerra. Entretanto, esse ganho não proporcionou aos ingleses um poder monetário estrutural, apesar do papel central que seu mercado financeiro e sua moeda tiveram durante o padrão ouro. Diferenteme</w:t>
      </w:r>
      <w:r w:rsidR="00B7678D">
        <w:rPr>
          <w:rFonts w:ascii="Times New Roman" w:hAnsi="Times New Roman" w:cs="Times New Roman"/>
          <w:sz w:val="24"/>
          <w:szCs w:val="24"/>
        </w:rPr>
        <w:t xml:space="preserve">nte, os Estados Unidos usaram </w:t>
      </w:r>
      <w:r>
        <w:rPr>
          <w:rFonts w:ascii="Times New Roman" w:hAnsi="Times New Roman" w:cs="Times New Roman"/>
          <w:sz w:val="24"/>
          <w:szCs w:val="24"/>
        </w:rPr>
        <w:t xml:space="preserve">seu poder monetário estrutural </w:t>
      </w:r>
      <w:r w:rsidR="00B7678D">
        <w:rPr>
          <w:rFonts w:ascii="Times New Roman" w:hAnsi="Times New Roman" w:cs="Times New Roman"/>
          <w:sz w:val="24"/>
          <w:szCs w:val="24"/>
        </w:rPr>
        <w:t>tanto para</w:t>
      </w:r>
      <w:r>
        <w:rPr>
          <w:rFonts w:ascii="Times New Roman" w:hAnsi="Times New Roman" w:cs="Times New Roman"/>
          <w:sz w:val="24"/>
          <w:szCs w:val="24"/>
        </w:rPr>
        <w:t xml:space="preserve"> implantar o regime de t</w:t>
      </w:r>
      <w:r w:rsidR="00B7678D">
        <w:rPr>
          <w:rFonts w:ascii="Times New Roman" w:hAnsi="Times New Roman" w:cs="Times New Roman"/>
          <w:sz w:val="24"/>
          <w:szCs w:val="24"/>
        </w:rPr>
        <w:t xml:space="preserve">axas fixas de </w:t>
      </w:r>
      <w:proofErr w:type="spellStart"/>
      <w:r w:rsidR="00B7678D">
        <w:rPr>
          <w:rFonts w:ascii="Times New Roman" w:hAnsi="Times New Roman" w:cs="Times New Roman"/>
          <w:sz w:val="24"/>
          <w:szCs w:val="24"/>
        </w:rPr>
        <w:t>Bretton</w:t>
      </w:r>
      <w:proofErr w:type="spellEnd"/>
      <w:r w:rsidR="00B7678D">
        <w:rPr>
          <w:rFonts w:ascii="Times New Roman" w:hAnsi="Times New Roman" w:cs="Times New Roman"/>
          <w:sz w:val="24"/>
          <w:szCs w:val="24"/>
        </w:rPr>
        <w:t xml:space="preserve"> Woods quanto</w:t>
      </w:r>
      <w:r>
        <w:rPr>
          <w:rFonts w:ascii="Times New Roman" w:hAnsi="Times New Roman" w:cs="Times New Roman"/>
          <w:sz w:val="24"/>
          <w:szCs w:val="24"/>
        </w:rPr>
        <w:t xml:space="preserve"> para rompê-lo e substituí-lo </w:t>
      </w:r>
      <w:r w:rsidR="00B7678D">
        <w:rPr>
          <w:rFonts w:ascii="Times New Roman" w:hAnsi="Times New Roman" w:cs="Times New Roman"/>
          <w:sz w:val="24"/>
          <w:szCs w:val="24"/>
        </w:rPr>
        <w:t>pelo</w:t>
      </w:r>
      <w:r>
        <w:rPr>
          <w:rFonts w:ascii="Times New Roman" w:hAnsi="Times New Roman" w:cs="Times New Roman"/>
          <w:sz w:val="24"/>
          <w:szCs w:val="24"/>
        </w:rPr>
        <w:t xml:space="preserve"> atual sistema monetário e financeiro internacional</w:t>
      </w:r>
      <w:r w:rsidR="00B7678D">
        <w:rPr>
          <w:rFonts w:ascii="Times New Roman" w:hAnsi="Times New Roman" w:cs="Times New Roman"/>
          <w:sz w:val="24"/>
          <w:szCs w:val="24"/>
        </w:rPr>
        <w:t>,</w:t>
      </w:r>
      <w:r>
        <w:rPr>
          <w:rFonts w:ascii="Times New Roman" w:hAnsi="Times New Roman" w:cs="Times New Roman"/>
          <w:sz w:val="24"/>
          <w:szCs w:val="24"/>
        </w:rPr>
        <w:t xml:space="preserve"> baseado do dólar flexível. A crise de 2008 mostra que o poder estrutural americ</w:t>
      </w:r>
      <w:r w:rsidR="00F12942">
        <w:rPr>
          <w:rFonts w:ascii="Times New Roman" w:hAnsi="Times New Roman" w:cs="Times New Roman"/>
          <w:sz w:val="24"/>
          <w:szCs w:val="24"/>
        </w:rPr>
        <w:t>ano está intacto e sem competi</w:t>
      </w:r>
      <w:r>
        <w:rPr>
          <w:rFonts w:ascii="Times New Roman" w:hAnsi="Times New Roman" w:cs="Times New Roman"/>
          <w:sz w:val="24"/>
          <w:szCs w:val="24"/>
        </w:rPr>
        <w:t>dores potenciais relevantes.</w:t>
      </w:r>
    </w:p>
    <w:p w:rsidR="00E533AE" w:rsidRDefault="00E533AE" w:rsidP="00E55B3B">
      <w:pPr>
        <w:spacing w:line="240" w:lineRule="auto"/>
        <w:jc w:val="both"/>
        <w:rPr>
          <w:rFonts w:ascii="Times New Roman" w:hAnsi="Times New Roman" w:cs="Times New Roman"/>
          <w:sz w:val="24"/>
          <w:szCs w:val="24"/>
        </w:rPr>
      </w:pPr>
      <w:r>
        <w:rPr>
          <w:rFonts w:ascii="Times New Roman" w:hAnsi="Times New Roman" w:cs="Times New Roman"/>
          <w:b/>
          <w:sz w:val="24"/>
          <w:szCs w:val="24"/>
        </w:rPr>
        <w:t>Palavras chaves</w:t>
      </w:r>
      <w:r w:rsidR="00962B54">
        <w:rPr>
          <w:rFonts w:ascii="Times New Roman" w:hAnsi="Times New Roman" w:cs="Times New Roman"/>
          <w:b/>
          <w:sz w:val="24"/>
          <w:szCs w:val="24"/>
        </w:rPr>
        <w:t xml:space="preserve">: </w:t>
      </w:r>
      <w:r w:rsidR="00962B54">
        <w:rPr>
          <w:rFonts w:ascii="Times New Roman" w:hAnsi="Times New Roman" w:cs="Times New Roman"/>
          <w:sz w:val="24"/>
          <w:szCs w:val="24"/>
        </w:rPr>
        <w:t>Sistema Monetário Internacional; Poder Monetário Estrutural; Padrão Ouro; Dólar Fixo; Dólar Flexível.</w:t>
      </w:r>
    </w:p>
    <w:p w:rsidR="00276F21" w:rsidRPr="00031560" w:rsidRDefault="00276F21" w:rsidP="00E55B3B">
      <w:pPr>
        <w:spacing w:line="240" w:lineRule="auto"/>
        <w:jc w:val="both"/>
        <w:rPr>
          <w:rFonts w:ascii="Times New Roman" w:hAnsi="Times New Roman" w:cs="Times New Roman"/>
          <w:b/>
          <w:sz w:val="24"/>
          <w:szCs w:val="24"/>
        </w:rPr>
      </w:pPr>
    </w:p>
    <w:p w:rsidR="00F12942" w:rsidRDefault="00F12942" w:rsidP="00E55B3B">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Structural Monetary Power: </w:t>
      </w:r>
      <w:r w:rsidR="00415AC4">
        <w:rPr>
          <w:rFonts w:ascii="Times New Roman" w:hAnsi="Times New Roman" w:cs="Times New Roman"/>
          <w:b/>
          <w:sz w:val="24"/>
          <w:szCs w:val="24"/>
          <w:lang w:val="en-US"/>
        </w:rPr>
        <w:t>from the gold standard to the flexible dollar regime</w:t>
      </w:r>
    </w:p>
    <w:p w:rsidR="00962B54" w:rsidRPr="00962B54" w:rsidRDefault="00962B54" w:rsidP="00E55B3B">
      <w:pPr>
        <w:spacing w:line="240" w:lineRule="auto"/>
        <w:jc w:val="both"/>
        <w:rPr>
          <w:rFonts w:ascii="Times New Roman" w:hAnsi="Times New Roman" w:cs="Times New Roman"/>
          <w:b/>
          <w:sz w:val="24"/>
          <w:szCs w:val="24"/>
          <w:lang w:val="en-US"/>
        </w:rPr>
      </w:pPr>
      <w:r w:rsidRPr="00962B54">
        <w:rPr>
          <w:rFonts w:ascii="Times New Roman" w:hAnsi="Times New Roman" w:cs="Times New Roman"/>
          <w:b/>
          <w:sz w:val="24"/>
          <w:szCs w:val="24"/>
          <w:lang w:val="en-US"/>
        </w:rPr>
        <w:t>Abstract</w:t>
      </w:r>
    </w:p>
    <w:p w:rsidR="00962B54" w:rsidRPr="00962B54" w:rsidRDefault="00B94C2E" w:rsidP="00E55B3B">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need </w:t>
      </w:r>
      <w:r w:rsidR="00962B54">
        <w:rPr>
          <w:rFonts w:ascii="Times New Roman" w:hAnsi="Times New Roman" w:cs="Times New Roman"/>
          <w:sz w:val="24"/>
          <w:szCs w:val="24"/>
          <w:lang w:val="en-US"/>
        </w:rPr>
        <w:t>to finance</w:t>
      </w:r>
      <w:r w:rsidR="00962B54" w:rsidRPr="00962B54">
        <w:rPr>
          <w:rFonts w:ascii="Times New Roman" w:hAnsi="Times New Roman" w:cs="Times New Roman"/>
          <w:sz w:val="24"/>
          <w:szCs w:val="24"/>
          <w:lang w:val="en-US"/>
        </w:rPr>
        <w:t xml:space="preserve"> wars led England to </w:t>
      </w:r>
      <w:r w:rsidR="00962B54">
        <w:rPr>
          <w:rFonts w:ascii="Times New Roman" w:hAnsi="Times New Roman" w:cs="Times New Roman"/>
          <w:sz w:val="24"/>
          <w:szCs w:val="24"/>
          <w:lang w:val="en-US"/>
        </w:rPr>
        <w:t>introduce</w:t>
      </w:r>
      <w:r w:rsidR="00962B54" w:rsidRPr="00962B54">
        <w:rPr>
          <w:rFonts w:ascii="Times New Roman" w:hAnsi="Times New Roman" w:cs="Times New Roman"/>
          <w:sz w:val="24"/>
          <w:szCs w:val="24"/>
          <w:lang w:val="en-US"/>
        </w:rPr>
        <w:t xml:space="preserve"> important financial innovations in the late seventeenth century that gave rise to the Financial Revolution. This set of mechanisms - long-term pu</w:t>
      </w:r>
      <w:r w:rsidR="001663A7">
        <w:rPr>
          <w:rFonts w:ascii="Times New Roman" w:hAnsi="Times New Roman" w:cs="Times New Roman"/>
          <w:sz w:val="24"/>
          <w:szCs w:val="24"/>
          <w:lang w:val="en-US"/>
        </w:rPr>
        <w:t xml:space="preserve">blic debt, central bank and deep </w:t>
      </w:r>
      <w:r w:rsidR="00962B54" w:rsidRPr="00962B54">
        <w:rPr>
          <w:rFonts w:ascii="Times New Roman" w:hAnsi="Times New Roman" w:cs="Times New Roman"/>
          <w:sz w:val="24"/>
          <w:szCs w:val="24"/>
          <w:lang w:val="en-US"/>
        </w:rPr>
        <w:t xml:space="preserve">secondary markets - gave Britain </w:t>
      </w:r>
      <w:r w:rsidR="00470EFA">
        <w:rPr>
          <w:rFonts w:ascii="Times New Roman" w:hAnsi="Times New Roman" w:cs="Times New Roman"/>
          <w:sz w:val="24"/>
          <w:szCs w:val="24"/>
          <w:lang w:val="en-US"/>
        </w:rPr>
        <w:t>dominant position in the international monetary system</w:t>
      </w:r>
      <w:r w:rsidR="00962B54" w:rsidRPr="00962B54">
        <w:rPr>
          <w:rFonts w:ascii="Times New Roman" w:hAnsi="Times New Roman" w:cs="Times New Roman"/>
          <w:sz w:val="24"/>
          <w:szCs w:val="24"/>
          <w:lang w:val="en-US"/>
        </w:rPr>
        <w:t xml:space="preserve"> until World War I. However, this gain did not provide the British with structural monetary power despite the central role their financial market and</w:t>
      </w:r>
      <w:r w:rsidR="001663A7">
        <w:rPr>
          <w:rFonts w:ascii="Times New Roman" w:hAnsi="Times New Roman" w:cs="Times New Roman"/>
          <w:sz w:val="24"/>
          <w:szCs w:val="24"/>
          <w:lang w:val="en-US"/>
        </w:rPr>
        <w:t xml:space="preserve"> their</w:t>
      </w:r>
      <w:r w:rsidR="00962B54" w:rsidRPr="00962B54">
        <w:rPr>
          <w:rFonts w:ascii="Times New Roman" w:hAnsi="Times New Roman" w:cs="Times New Roman"/>
          <w:sz w:val="24"/>
          <w:szCs w:val="24"/>
          <w:lang w:val="en-US"/>
        </w:rPr>
        <w:t xml:space="preserve"> currency had during the gold standard. In contrast, the United States used its structural monetary power not only to implement the Bretton Woods fi</w:t>
      </w:r>
      <w:r w:rsidR="001C7600">
        <w:rPr>
          <w:rFonts w:ascii="Times New Roman" w:hAnsi="Times New Roman" w:cs="Times New Roman"/>
          <w:sz w:val="24"/>
          <w:szCs w:val="24"/>
          <w:lang w:val="en-US"/>
        </w:rPr>
        <w:t xml:space="preserve">xed-rate regime but also to break </w:t>
      </w:r>
      <w:r w:rsidR="00962B54" w:rsidRPr="00962B54">
        <w:rPr>
          <w:rFonts w:ascii="Times New Roman" w:hAnsi="Times New Roman" w:cs="Times New Roman"/>
          <w:sz w:val="24"/>
          <w:szCs w:val="24"/>
          <w:lang w:val="en-US"/>
        </w:rPr>
        <w:t>and replace it with the current flexible international dollar-based monetary and financial system. The crisis of 2008 shows that American str</w:t>
      </w:r>
      <w:r w:rsidR="001663A7">
        <w:rPr>
          <w:rFonts w:ascii="Times New Roman" w:hAnsi="Times New Roman" w:cs="Times New Roman"/>
          <w:sz w:val="24"/>
          <w:szCs w:val="24"/>
          <w:lang w:val="en-US"/>
        </w:rPr>
        <w:t>uctural power is intact and face</w:t>
      </w:r>
      <w:r w:rsidR="00962B54" w:rsidRPr="00962B54">
        <w:rPr>
          <w:rFonts w:ascii="Times New Roman" w:hAnsi="Times New Roman" w:cs="Times New Roman"/>
          <w:sz w:val="24"/>
          <w:szCs w:val="24"/>
          <w:lang w:val="en-US"/>
        </w:rPr>
        <w:t xml:space="preserve"> no relevant potential competitors.</w:t>
      </w:r>
    </w:p>
    <w:p w:rsidR="00962B54" w:rsidRPr="00962B54" w:rsidRDefault="00F12942" w:rsidP="00E55B3B">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t>
      </w:r>
      <w:r w:rsidR="00962B54" w:rsidRPr="00962B54">
        <w:rPr>
          <w:rFonts w:ascii="Times New Roman" w:hAnsi="Times New Roman" w:cs="Times New Roman"/>
          <w:b/>
          <w:sz w:val="24"/>
          <w:szCs w:val="24"/>
          <w:lang w:val="en-US"/>
        </w:rPr>
        <w:t>words</w:t>
      </w:r>
      <w:r w:rsidR="00962B54" w:rsidRPr="00962B54">
        <w:rPr>
          <w:rFonts w:ascii="Times New Roman" w:hAnsi="Times New Roman" w:cs="Times New Roman"/>
          <w:sz w:val="24"/>
          <w:szCs w:val="24"/>
          <w:lang w:val="en-US"/>
        </w:rPr>
        <w:t>: International Monetary System; Structural Monetary Power; Gold</w:t>
      </w:r>
      <w:r w:rsidR="001663A7">
        <w:rPr>
          <w:rFonts w:ascii="Times New Roman" w:hAnsi="Times New Roman" w:cs="Times New Roman"/>
          <w:sz w:val="24"/>
          <w:szCs w:val="24"/>
          <w:lang w:val="en-US"/>
        </w:rPr>
        <w:t xml:space="preserve"> Standard</w:t>
      </w:r>
      <w:r w:rsidR="00962B54" w:rsidRPr="00962B54">
        <w:rPr>
          <w:rFonts w:ascii="Times New Roman" w:hAnsi="Times New Roman" w:cs="Times New Roman"/>
          <w:sz w:val="24"/>
          <w:szCs w:val="24"/>
          <w:lang w:val="en-US"/>
        </w:rPr>
        <w:t>; Fixed</w:t>
      </w:r>
      <w:r w:rsidR="00962B54">
        <w:rPr>
          <w:rFonts w:ascii="Times New Roman" w:hAnsi="Times New Roman" w:cs="Times New Roman"/>
          <w:sz w:val="24"/>
          <w:szCs w:val="24"/>
          <w:lang w:val="en-US"/>
        </w:rPr>
        <w:t xml:space="preserve"> Exchange Rate Dollar Regime;</w:t>
      </w:r>
      <w:r w:rsidR="00962B54" w:rsidRPr="00962B54">
        <w:rPr>
          <w:rFonts w:ascii="Times New Roman" w:hAnsi="Times New Roman" w:cs="Times New Roman"/>
          <w:sz w:val="24"/>
          <w:szCs w:val="24"/>
          <w:lang w:val="en-US"/>
        </w:rPr>
        <w:t xml:space="preserve"> Flexible </w:t>
      </w:r>
      <w:r w:rsidR="00962B54">
        <w:rPr>
          <w:rFonts w:ascii="Times New Roman" w:hAnsi="Times New Roman" w:cs="Times New Roman"/>
          <w:sz w:val="24"/>
          <w:szCs w:val="24"/>
          <w:lang w:val="en-US"/>
        </w:rPr>
        <w:t xml:space="preserve">Exchange Rate </w:t>
      </w:r>
      <w:r w:rsidR="00962B54" w:rsidRPr="00962B54">
        <w:rPr>
          <w:rFonts w:ascii="Times New Roman" w:hAnsi="Times New Roman" w:cs="Times New Roman"/>
          <w:sz w:val="24"/>
          <w:szCs w:val="24"/>
          <w:lang w:val="en-US"/>
        </w:rPr>
        <w:t>Dollar</w:t>
      </w:r>
      <w:r w:rsidR="00962B54">
        <w:rPr>
          <w:rFonts w:ascii="Times New Roman" w:hAnsi="Times New Roman" w:cs="Times New Roman"/>
          <w:sz w:val="24"/>
          <w:szCs w:val="24"/>
          <w:lang w:val="en-US"/>
        </w:rPr>
        <w:t xml:space="preserve"> Regime</w:t>
      </w:r>
    </w:p>
    <w:p w:rsidR="00962B54" w:rsidRPr="00962B54" w:rsidRDefault="00962B54" w:rsidP="00E55B3B">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JEL: </w:t>
      </w:r>
      <w:r>
        <w:rPr>
          <w:rFonts w:ascii="Times New Roman" w:hAnsi="Times New Roman" w:cs="Times New Roman"/>
          <w:sz w:val="24"/>
          <w:szCs w:val="24"/>
        </w:rPr>
        <w:t xml:space="preserve"> F02, F30, G15, H56</w:t>
      </w:r>
    </w:p>
    <w:p w:rsidR="00E55B3B" w:rsidRDefault="00E55B3B" w:rsidP="00332D83">
      <w:pPr>
        <w:spacing w:line="480" w:lineRule="auto"/>
        <w:rPr>
          <w:rFonts w:ascii="Times New Roman" w:hAnsi="Times New Roman" w:cs="Times New Roman"/>
          <w:b/>
          <w:sz w:val="24"/>
          <w:szCs w:val="24"/>
        </w:rPr>
      </w:pPr>
    </w:p>
    <w:p w:rsidR="00E55B3B" w:rsidRDefault="00E55B3B" w:rsidP="00332D83">
      <w:pPr>
        <w:spacing w:line="480" w:lineRule="auto"/>
        <w:rPr>
          <w:rFonts w:ascii="Times New Roman" w:hAnsi="Times New Roman" w:cs="Times New Roman"/>
          <w:b/>
          <w:sz w:val="24"/>
          <w:szCs w:val="24"/>
        </w:rPr>
      </w:pPr>
    </w:p>
    <w:p w:rsidR="00276F21" w:rsidRDefault="00276F21" w:rsidP="00332D83">
      <w:pPr>
        <w:spacing w:line="480" w:lineRule="auto"/>
        <w:rPr>
          <w:rFonts w:ascii="Times New Roman" w:hAnsi="Times New Roman" w:cs="Times New Roman"/>
          <w:b/>
          <w:sz w:val="24"/>
          <w:szCs w:val="24"/>
        </w:rPr>
      </w:pPr>
    </w:p>
    <w:p w:rsidR="00276F21" w:rsidRDefault="00276F21" w:rsidP="00332D83">
      <w:pPr>
        <w:spacing w:line="480" w:lineRule="auto"/>
        <w:rPr>
          <w:rFonts w:ascii="Times New Roman" w:hAnsi="Times New Roman" w:cs="Times New Roman"/>
          <w:b/>
          <w:sz w:val="24"/>
          <w:szCs w:val="24"/>
        </w:rPr>
      </w:pPr>
    </w:p>
    <w:p w:rsidR="00A20EA0" w:rsidRPr="00862EB5" w:rsidRDefault="00A20EA0" w:rsidP="00276F21">
      <w:pPr>
        <w:spacing w:line="240" w:lineRule="auto"/>
        <w:rPr>
          <w:rFonts w:ascii="Times New Roman" w:hAnsi="Times New Roman" w:cs="Times New Roman"/>
          <w:b/>
          <w:sz w:val="24"/>
          <w:szCs w:val="24"/>
        </w:rPr>
      </w:pPr>
      <w:r w:rsidRPr="00862EB5">
        <w:rPr>
          <w:rFonts w:ascii="Times New Roman" w:hAnsi="Times New Roman" w:cs="Times New Roman"/>
          <w:b/>
          <w:sz w:val="24"/>
          <w:szCs w:val="24"/>
        </w:rPr>
        <w:t>Introdução</w:t>
      </w:r>
      <w:r w:rsidR="006E6EAE" w:rsidRPr="00862EB5">
        <w:rPr>
          <w:rFonts w:ascii="Times New Roman" w:hAnsi="Times New Roman" w:cs="Times New Roman"/>
          <w:b/>
          <w:sz w:val="24"/>
          <w:szCs w:val="24"/>
        </w:rPr>
        <w:t xml:space="preserve"> </w:t>
      </w:r>
    </w:p>
    <w:p w:rsidR="00692EFF" w:rsidRPr="00332D83" w:rsidRDefault="009D7E2D"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 </w:t>
      </w:r>
      <w:r w:rsidR="00F12942">
        <w:rPr>
          <w:rFonts w:ascii="Times New Roman" w:hAnsi="Times New Roman" w:cs="Times New Roman"/>
          <w:sz w:val="24"/>
          <w:szCs w:val="24"/>
        </w:rPr>
        <w:t xml:space="preserve">A literatura </w:t>
      </w:r>
      <w:r w:rsidRPr="00332D83">
        <w:rPr>
          <w:rFonts w:ascii="Times New Roman" w:hAnsi="Times New Roman" w:cs="Times New Roman"/>
          <w:sz w:val="24"/>
          <w:szCs w:val="24"/>
        </w:rPr>
        <w:t>de relações internacionais e</w:t>
      </w:r>
      <w:r w:rsidR="00865257">
        <w:rPr>
          <w:rFonts w:ascii="Times New Roman" w:hAnsi="Times New Roman" w:cs="Times New Roman"/>
          <w:sz w:val="24"/>
          <w:szCs w:val="24"/>
        </w:rPr>
        <w:t xml:space="preserve">, em particular, </w:t>
      </w:r>
      <w:r w:rsidRPr="00332D83">
        <w:rPr>
          <w:rFonts w:ascii="Times New Roman" w:hAnsi="Times New Roman" w:cs="Times New Roman"/>
          <w:sz w:val="24"/>
          <w:szCs w:val="24"/>
        </w:rPr>
        <w:t>d</w:t>
      </w:r>
      <w:r w:rsidR="006D3578" w:rsidRPr="00332D83">
        <w:rPr>
          <w:rFonts w:ascii="Times New Roman" w:hAnsi="Times New Roman" w:cs="Times New Roman"/>
          <w:sz w:val="24"/>
          <w:szCs w:val="24"/>
        </w:rPr>
        <w:t>a E</w:t>
      </w:r>
      <w:r w:rsidRPr="00332D83">
        <w:rPr>
          <w:rFonts w:ascii="Times New Roman" w:hAnsi="Times New Roman" w:cs="Times New Roman"/>
          <w:sz w:val="24"/>
          <w:szCs w:val="24"/>
        </w:rPr>
        <w:t xml:space="preserve">conomia </w:t>
      </w:r>
      <w:r w:rsidR="006D3578" w:rsidRPr="00332D83">
        <w:rPr>
          <w:rFonts w:ascii="Times New Roman" w:hAnsi="Times New Roman" w:cs="Times New Roman"/>
          <w:sz w:val="24"/>
          <w:szCs w:val="24"/>
        </w:rPr>
        <w:t>P</w:t>
      </w:r>
      <w:r w:rsidRPr="00332D83">
        <w:rPr>
          <w:rFonts w:ascii="Times New Roman" w:hAnsi="Times New Roman" w:cs="Times New Roman"/>
          <w:sz w:val="24"/>
          <w:szCs w:val="24"/>
        </w:rPr>
        <w:t xml:space="preserve">olítica </w:t>
      </w:r>
      <w:r w:rsidR="006D3578" w:rsidRPr="00332D83">
        <w:rPr>
          <w:rFonts w:ascii="Times New Roman" w:hAnsi="Times New Roman" w:cs="Times New Roman"/>
          <w:sz w:val="24"/>
          <w:szCs w:val="24"/>
        </w:rPr>
        <w:t>I</w:t>
      </w:r>
      <w:r w:rsidRPr="00332D83">
        <w:rPr>
          <w:rFonts w:ascii="Times New Roman" w:hAnsi="Times New Roman" w:cs="Times New Roman"/>
          <w:sz w:val="24"/>
          <w:szCs w:val="24"/>
        </w:rPr>
        <w:t>nternacional (EPI)</w:t>
      </w:r>
      <w:r w:rsidR="006D4CB3" w:rsidRPr="00332D83">
        <w:rPr>
          <w:rFonts w:ascii="Times New Roman" w:hAnsi="Times New Roman" w:cs="Times New Roman"/>
          <w:sz w:val="24"/>
          <w:szCs w:val="24"/>
        </w:rPr>
        <w:t xml:space="preserve"> p</w:t>
      </w:r>
      <w:r w:rsidRPr="00332D83">
        <w:rPr>
          <w:rFonts w:ascii="Times New Roman" w:hAnsi="Times New Roman" w:cs="Times New Roman"/>
          <w:sz w:val="24"/>
          <w:szCs w:val="24"/>
        </w:rPr>
        <w:t>ossu</w:t>
      </w:r>
      <w:r w:rsidR="00865257">
        <w:rPr>
          <w:rFonts w:ascii="Times New Roman" w:hAnsi="Times New Roman" w:cs="Times New Roman"/>
          <w:sz w:val="24"/>
          <w:szCs w:val="24"/>
        </w:rPr>
        <w:t>i</w:t>
      </w:r>
      <w:r w:rsidRPr="00332D83">
        <w:rPr>
          <w:rFonts w:ascii="Times New Roman" w:hAnsi="Times New Roman" w:cs="Times New Roman"/>
          <w:sz w:val="24"/>
          <w:szCs w:val="24"/>
        </w:rPr>
        <w:t xml:space="preserve"> contribuições importantes</w:t>
      </w:r>
      <w:r w:rsidR="00F61DD9">
        <w:rPr>
          <w:rFonts w:ascii="Times New Roman" w:hAnsi="Times New Roman" w:cs="Times New Roman"/>
          <w:sz w:val="24"/>
          <w:szCs w:val="24"/>
        </w:rPr>
        <w:t xml:space="preserve"> ao estudo das relações</w:t>
      </w:r>
      <w:r w:rsidR="00696AF8">
        <w:rPr>
          <w:rFonts w:ascii="Times New Roman" w:hAnsi="Times New Roman" w:cs="Times New Roman"/>
          <w:sz w:val="24"/>
          <w:szCs w:val="24"/>
        </w:rPr>
        <w:t xml:space="preserve"> entre moeda, mercados financeiros</w:t>
      </w:r>
      <w:r w:rsidR="00415AC4">
        <w:rPr>
          <w:rFonts w:ascii="Times New Roman" w:hAnsi="Times New Roman" w:cs="Times New Roman"/>
          <w:sz w:val="24"/>
          <w:szCs w:val="24"/>
        </w:rPr>
        <w:t xml:space="preserve"> </w:t>
      </w:r>
      <w:r w:rsidR="00696AF8" w:rsidRPr="00332D83">
        <w:rPr>
          <w:rFonts w:ascii="Times New Roman" w:hAnsi="Times New Roman" w:cs="Times New Roman"/>
          <w:sz w:val="24"/>
          <w:szCs w:val="24"/>
        </w:rPr>
        <w:t>e poder</w:t>
      </w:r>
      <w:r w:rsidR="00696AF8">
        <w:rPr>
          <w:rFonts w:ascii="Times New Roman" w:hAnsi="Times New Roman" w:cs="Times New Roman"/>
          <w:sz w:val="24"/>
          <w:szCs w:val="24"/>
        </w:rPr>
        <w:t xml:space="preserve">. Entre esses </w:t>
      </w:r>
      <w:r w:rsidR="007F4382" w:rsidRPr="00332D83">
        <w:rPr>
          <w:rFonts w:ascii="Times New Roman" w:hAnsi="Times New Roman" w:cs="Times New Roman"/>
          <w:sz w:val="24"/>
          <w:szCs w:val="24"/>
        </w:rPr>
        <w:t>está o</w:t>
      </w:r>
      <w:r w:rsidR="006D3578" w:rsidRPr="00332D83">
        <w:rPr>
          <w:rFonts w:ascii="Times New Roman" w:hAnsi="Times New Roman" w:cs="Times New Roman"/>
          <w:sz w:val="24"/>
          <w:szCs w:val="24"/>
        </w:rPr>
        <w:t xml:space="preserve"> </w:t>
      </w:r>
      <w:r w:rsidR="00462F9C" w:rsidRPr="00332D83">
        <w:rPr>
          <w:rFonts w:ascii="Times New Roman" w:hAnsi="Times New Roman" w:cs="Times New Roman"/>
          <w:sz w:val="24"/>
          <w:szCs w:val="24"/>
        </w:rPr>
        <w:t>conceito de</w:t>
      </w:r>
      <w:r w:rsidR="00F61DD9">
        <w:rPr>
          <w:rFonts w:ascii="Times New Roman" w:hAnsi="Times New Roman" w:cs="Times New Roman"/>
          <w:sz w:val="24"/>
          <w:szCs w:val="24"/>
        </w:rPr>
        <w:t xml:space="preserve"> poder monetário estrutural (PME) </w:t>
      </w:r>
      <w:r w:rsidR="006D3578" w:rsidRPr="00332D83">
        <w:rPr>
          <w:rFonts w:ascii="Times New Roman" w:hAnsi="Times New Roman" w:cs="Times New Roman"/>
          <w:sz w:val="24"/>
          <w:szCs w:val="24"/>
        </w:rPr>
        <w:t xml:space="preserve">desenvolvido por Benjamin Cohen e Susan Strange. </w:t>
      </w:r>
      <w:r w:rsidR="00631A3C" w:rsidRPr="00332D83">
        <w:rPr>
          <w:rFonts w:ascii="Times New Roman" w:hAnsi="Times New Roman" w:cs="Times New Roman"/>
          <w:sz w:val="24"/>
          <w:szCs w:val="24"/>
        </w:rPr>
        <w:t>Para esses</w:t>
      </w:r>
      <w:r w:rsidR="006D3578" w:rsidRPr="00332D83">
        <w:rPr>
          <w:rFonts w:ascii="Times New Roman" w:hAnsi="Times New Roman" w:cs="Times New Roman"/>
          <w:sz w:val="24"/>
          <w:szCs w:val="24"/>
        </w:rPr>
        <w:t xml:space="preserve"> dois autores</w:t>
      </w:r>
      <w:r w:rsidR="00631A3C" w:rsidRPr="00332D83">
        <w:rPr>
          <w:rFonts w:ascii="Times New Roman" w:hAnsi="Times New Roman" w:cs="Times New Roman"/>
          <w:sz w:val="24"/>
          <w:szCs w:val="24"/>
        </w:rPr>
        <w:t xml:space="preserve">, </w:t>
      </w:r>
      <w:r w:rsidR="007F4382" w:rsidRPr="00332D83">
        <w:rPr>
          <w:rFonts w:ascii="Times New Roman" w:hAnsi="Times New Roman" w:cs="Times New Roman"/>
          <w:sz w:val="24"/>
          <w:szCs w:val="24"/>
        </w:rPr>
        <w:t>trata-se de</w:t>
      </w:r>
      <w:r w:rsidR="00631A3C" w:rsidRPr="00332D83">
        <w:rPr>
          <w:rFonts w:ascii="Times New Roman" w:hAnsi="Times New Roman" w:cs="Times New Roman"/>
          <w:sz w:val="24"/>
          <w:szCs w:val="24"/>
        </w:rPr>
        <w:t xml:space="preserve"> </w:t>
      </w:r>
      <w:r w:rsidR="006D3578" w:rsidRPr="00332D83">
        <w:rPr>
          <w:rFonts w:ascii="Times New Roman" w:hAnsi="Times New Roman" w:cs="Times New Roman"/>
          <w:sz w:val="24"/>
          <w:szCs w:val="24"/>
        </w:rPr>
        <w:t>uma das dimensões do poder estrutural que a potência hegemônic</w:t>
      </w:r>
      <w:r w:rsidR="00BA67AA" w:rsidRPr="00332D83">
        <w:rPr>
          <w:rFonts w:ascii="Times New Roman" w:hAnsi="Times New Roman" w:cs="Times New Roman"/>
          <w:sz w:val="24"/>
          <w:szCs w:val="24"/>
        </w:rPr>
        <w:t xml:space="preserve">a exerce sobre as demais nações relevantes na arena internacional. </w:t>
      </w:r>
      <w:r w:rsidR="00631A3C" w:rsidRPr="00332D83">
        <w:rPr>
          <w:rFonts w:ascii="Times New Roman" w:hAnsi="Times New Roman" w:cs="Times New Roman"/>
          <w:sz w:val="24"/>
          <w:szCs w:val="24"/>
        </w:rPr>
        <w:t>Refere-se especificamente a sua capacidade de reescrever</w:t>
      </w:r>
      <w:r w:rsidR="00F12942">
        <w:rPr>
          <w:rFonts w:ascii="Times New Roman" w:hAnsi="Times New Roman" w:cs="Times New Roman"/>
          <w:sz w:val="24"/>
          <w:szCs w:val="24"/>
        </w:rPr>
        <w:t>, em seu benefício,</w:t>
      </w:r>
      <w:r w:rsidR="00631A3C" w:rsidRPr="00332D83">
        <w:rPr>
          <w:rFonts w:ascii="Times New Roman" w:hAnsi="Times New Roman" w:cs="Times New Roman"/>
          <w:sz w:val="24"/>
          <w:szCs w:val="24"/>
        </w:rPr>
        <w:t xml:space="preserve"> as regras que comandam, a nível global, a geração de crédito </w:t>
      </w:r>
      <w:r w:rsidR="007F4382" w:rsidRPr="00332D83">
        <w:rPr>
          <w:rFonts w:ascii="Times New Roman" w:hAnsi="Times New Roman" w:cs="Times New Roman"/>
          <w:sz w:val="24"/>
          <w:szCs w:val="24"/>
        </w:rPr>
        <w:t>d</w:t>
      </w:r>
      <w:r w:rsidR="00631A3C" w:rsidRPr="00332D83">
        <w:rPr>
          <w:rFonts w:ascii="Times New Roman" w:hAnsi="Times New Roman" w:cs="Times New Roman"/>
          <w:sz w:val="24"/>
          <w:szCs w:val="24"/>
        </w:rPr>
        <w:t xml:space="preserve">os sistemas </w:t>
      </w:r>
      <w:r w:rsidR="00692EFF" w:rsidRPr="00332D83">
        <w:rPr>
          <w:rFonts w:ascii="Times New Roman" w:hAnsi="Times New Roman" w:cs="Times New Roman"/>
          <w:sz w:val="24"/>
          <w:szCs w:val="24"/>
        </w:rPr>
        <w:t>financeiros nacionais e a conversibilidade das diferentes moedas.</w:t>
      </w:r>
      <w:r w:rsidR="00631A3C" w:rsidRPr="00332D83">
        <w:rPr>
          <w:rFonts w:ascii="Times New Roman" w:hAnsi="Times New Roman" w:cs="Times New Roman"/>
          <w:sz w:val="24"/>
          <w:szCs w:val="24"/>
        </w:rPr>
        <w:t xml:space="preserve"> </w:t>
      </w:r>
    </w:p>
    <w:p w:rsidR="00631A3C" w:rsidRPr="00332D83" w:rsidRDefault="00517639" w:rsidP="00276F21">
      <w:pPr>
        <w:spacing w:line="240" w:lineRule="auto"/>
        <w:jc w:val="both"/>
        <w:rPr>
          <w:rFonts w:ascii="Times New Roman" w:hAnsi="Times New Roman" w:cs="Times New Roman"/>
          <w:sz w:val="24"/>
          <w:szCs w:val="24"/>
        </w:rPr>
      </w:pPr>
      <w:r>
        <w:rPr>
          <w:rFonts w:ascii="Times New Roman" w:hAnsi="Times New Roman" w:cs="Times New Roman"/>
          <w:sz w:val="24"/>
          <w:szCs w:val="24"/>
        </w:rPr>
        <w:t>Ademais dessa</w:t>
      </w:r>
      <w:r w:rsidR="00696AF8">
        <w:rPr>
          <w:rFonts w:ascii="Times New Roman" w:hAnsi="Times New Roman" w:cs="Times New Roman"/>
          <w:sz w:val="24"/>
          <w:szCs w:val="24"/>
        </w:rPr>
        <w:t xml:space="preserve"> perspectiva teórica</w:t>
      </w:r>
      <w:r w:rsidR="00F61DD9">
        <w:rPr>
          <w:rFonts w:ascii="Times New Roman" w:hAnsi="Times New Roman" w:cs="Times New Roman"/>
          <w:sz w:val="24"/>
          <w:szCs w:val="24"/>
        </w:rPr>
        <w:t>,</w:t>
      </w:r>
      <w:r w:rsidR="00631A3C" w:rsidRPr="00332D83">
        <w:rPr>
          <w:rFonts w:ascii="Times New Roman" w:hAnsi="Times New Roman" w:cs="Times New Roman"/>
          <w:sz w:val="24"/>
          <w:szCs w:val="24"/>
        </w:rPr>
        <w:t xml:space="preserve"> </w:t>
      </w:r>
      <w:r w:rsidR="00696AF8">
        <w:rPr>
          <w:rFonts w:ascii="Times New Roman" w:hAnsi="Times New Roman" w:cs="Times New Roman"/>
          <w:sz w:val="24"/>
          <w:szCs w:val="24"/>
        </w:rPr>
        <w:t xml:space="preserve">o poder monetário estrutural </w:t>
      </w:r>
      <w:r w:rsidR="00F61DD9">
        <w:rPr>
          <w:rFonts w:ascii="Times New Roman" w:hAnsi="Times New Roman" w:cs="Times New Roman"/>
          <w:sz w:val="24"/>
          <w:szCs w:val="24"/>
        </w:rPr>
        <w:t>também guarda uma dimensão histórica</w:t>
      </w:r>
      <w:r w:rsidR="00631A3C" w:rsidRPr="00332D83">
        <w:rPr>
          <w:rFonts w:ascii="Times New Roman" w:hAnsi="Times New Roman" w:cs="Times New Roman"/>
          <w:sz w:val="24"/>
          <w:szCs w:val="24"/>
        </w:rPr>
        <w:t xml:space="preserve">. </w:t>
      </w:r>
      <w:r w:rsidR="00D52B1E">
        <w:rPr>
          <w:rFonts w:ascii="Times New Roman" w:hAnsi="Times New Roman" w:cs="Times New Roman"/>
          <w:sz w:val="24"/>
          <w:szCs w:val="24"/>
        </w:rPr>
        <w:t>Dessa perspectiva, a</w:t>
      </w:r>
      <w:r w:rsidR="00631A3C" w:rsidRPr="00332D83">
        <w:rPr>
          <w:rFonts w:ascii="Times New Roman" w:hAnsi="Times New Roman" w:cs="Times New Roman"/>
          <w:sz w:val="24"/>
          <w:szCs w:val="24"/>
        </w:rPr>
        <w:t xml:space="preserve"> origem</w:t>
      </w:r>
      <w:r w:rsidR="00D52B1E">
        <w:rPr>
          <w:rFonts w:ascii="Times New Roman" w:hAnsi="Times New Roman" w:cs="Times New Roman"/>
          <w:sz w:val="24"/>
          <w:szCs w:val="24"/>
        </w:rPr>
        <w:t xml:space="preserve"> </w:t>
      </w:r>
      <w:r w:rsidR="00F61DD9">
        <w:rPr>
          <w:rFonts w:ascii="Times New Roman" w:hAnsi="Times New Roman" w:cs="Times New Roman"/>
          <w:sz w:val="24"/>
          <w:szCs w:val="24"/>
        </w:rPr>
        <w:t>do PME</w:t>
      </w:r>
      <w:r w:rsidR="00692EFF" w:rsidRPr="00332D83">
        <w:rPr>
          <w:rFonts w:ascii="Times New Roman" w:hAnsi="Times New Roman" w:cs="Times New Roman"/>
          <w:sz w:val="24"/>
          <w:szCs w:val="24"/>
        </w:rPr>
        <w:t xml:space="preserve"> es</w:t>
      </w:r>
      <w:r w:rsidR="00631A3C" w:rsidRPr="00332D83">
        <w:rPr>
          <w:rFonts w:ascii="Times New Roman" w:hAnsi="Times New Roman" w:cs="Times New Roman"/>
          <w:sz w:val="24"/>
          <w:szCs w:val="24"/>
        </w:rPr>
        <w:t>tá relacionada ao comando de um país sobre um conjunto de instituições que foram fruto da Revolução Financeira ocorrida na Inglaterra no século XVIII</w:t>
      </w:r>
      <w:r w:rsidR="006515CC">
        <w:rPr>
          <w:rFonts w:ascii="Times New Roman" w:hAnsi="Times New Roman" w:cs="Times New Roman"/>
          <w:sz w:val="24"/>
          <w:szCs w:val="24"/>
        </w:rPr>
        <w:t xml:space="preserve"> (ROSEVEARE, 1991)</w:t>
      </w:r>
      <w:r w:rsidR="00692EFF" w:rsidRPr="00332D83">
        <w:rPr>
          <w:rFonts w:ascii="Times New Roman" w:hAnsi="Times New Roman" w:cs="Times New Roman"/>
          <w:sz w:val="24"/>
          <w:szCs w:val="24"/>
        </w:rPr>
        <w:t xml:space="preserve">. </w:t>
      </w:r>
      <w:r w:rsidR="00631A3C" w:rsidRPr="00332D83">
        <w:rPr>
          <w:rFonts w:ascii="Times New Roman" w:hAnsi="Times New Roman" w:cs="Times New Roman"/>
          <w:sz w:val="24"/>
          <w:szCs w:val="24"/>
        </w:rPr>
        <w:t xml:space="preserve">Essas inovações se materializaram na </w:t>
      </w:r>
      <w:r w:rsidR="00534F7C">
        <w:rPr>
          <w:rFonts w:ascii="Times New Roman" w:hAnsi="Times New Roman" w:cs="Times New Roman"/>
          <w:sz w:val="24"/>
          <w:szCs w:val="24"/>
        </w:rPr>
        <w:t>m</w:t>
      </w:r>
      <w:r>
        <w:rPr>
          <w:rFonts w:ascii="Times New Roman" w:hAnsi="Times New Roman" w:cs="Times New Roman"/>
          <w:sz w:val="24"/>
          <w:szCs w:val="24"/>
        </w:rPr>
        <w:t>odernização da dívida pública -</w:t>
      </w:r>
      <w:r w:rsidR="00534F7C">
        <w:rPr>
          <w:rFonts w:ascii="Times New Roman" w:hAnsi="Times New Roman" w:cs="Times New Roman"/>
          <w:sz w:val="24"/>
          <w:szCs w:val="24"/>
        </w:rPr>
        <w:t xml:space="preserve"> </w:t>
      </w:r>
      <w:r w:rsidR="00631A3C" w:rsidRPr="00332D83">
        <w:rPr>
          <w:rFonts w:ascii="Times New Roman" w:hAnsi="Times New Roman" w:cs="Times New Roman"/>
          <w:sz w:val="24"/>
          <w:szCs w:val="24"/>
        </w:rPr>
        <w:t>a introdução do “</w:t>
      </w:r>
      <w:proofErr w:type="spellStart"/>
      <w:r w:rsidR="00631A3C" w:rsidRPr="00332D83">
        <w:rPr>
          <w:rFonts w:ascii="Times New Roman" w:hAnsi="Times New Roman" w:cs="Times New Roman"/>
          <w:i/>
          <w:sz w:val="24"/>
          <w:szCs w:val="24"/>
        </w:rPr>
        <w:t>Dutch</w:t>
      </w:r>
      <w:proofErr w:type="spellEnd"/>
      <w:r w:rsidR="00631A3C" w:rsidRPr="00332D83">
        <w:rPr>
          <w:rFonts w:ascii="Times New Roman" w:hAnsi="Times New Roman" w:cs="Times New Roman"/>
          <w:i/>
          <w:sz w:val="24"/>
          <w:szCs w:val="24"/>
        </w:rPr>
        <w:t xml:space="preserve"> </w:t>
      </w:r>
      <w:proofErr w:type="spellStart"/>
      <w:r w:rsidR="00631A3C" w:rsidRPr="00332D83">
        <w:rPr>
          <w:rFonts w:ascii="Times New Roman" w:hAnsi="Times New Roman" w:cs="Times New Roman"/>
          <w:i/>
          <w:sz w:val="24"/>
          <w:szCs w:val="24"/>
        </w:rPr>
        <w:t>finance</w:t>
      </w:r>
      <w:proofErr w:type="spellEnd"/>
      <w:r w:rsidR="00631A3C" w:rsidRPr="00332D83">
        <w:rPr>
          <w:rFonts w:ascii="Times New Roman" w:hAnsi="Times New Roman" w:cs="Times New Roman"/>
          <w:i/>
          <w:sz w:val="24"/>
          <w:szCs w:val="24"/>
        </w:rPr>
        <w:t>”</w:t>
      </w:r>
      <w:r w:rsidR="00534F7C">
        <w:rPr>
          <w:rFonts w:ascii="Times New Roman" w:hAnsi="Times New Roman" w:cs="Times New Roman"/>
          <w:sz w:val="24"/>
          <w:szCs w:val="24"/>
        </w:rPr>
        <w:t xml:space="preserve"> (CARLOS et al.</w:t>
      </w:r>
      <w:r w:rsidR="001C7600">
        <w:rPr>
          <w:rFonts w:ascii="Times New Roman" w:hAnsi="Times New Roman" w:cs="Times New Roman"/>
          <w:sz w:val="24"/>
          <w:szCs w:val="24"/>
        </w:rPr>
        <w:t xml:space="preserve"> </w:t>
      </w:r>
      <w:r w:rsidR="00534F7C">
        <w:rPr>
          <w:rFonts w:ascii="Times New Roman" w:hAnsi="Times New Roman" w:cs="Times New Roman"/>
          <w:sz w:val="24"/>
          <w:szCs w:val="24"/>
        </w:rPr>
        <w:t>,2005)</w:t>
      </w:r>
      <w:r w:rsidR="00D52B1E">
        <w:rPr>
          <w:rFonts w:ascii="Times New Roman" w:hAnsi="Times New Roman" w:cs="Times New Roman"/>
          <w:sz w:val="24"/>
          <w:szCs w:val="24"/>
        </w:rPr>
        <w:t>, na criação do</w:t>
      </w:r>
      <w:r w:rsidR="00631A3C" w:rsidRPr="00332D83">
        <w:rPr>
          <w:rFonts w:ascii="Times New Roman" w:hAnsi="Times New Roman" w:cs="Times New Roman"/>
          <w:sz w:val="24"/>
          <w:szCs w:val="24"/>
        </w:rPr>
        <w:t xml:space="preserve"> banco central </w:t>
      </w:r>
      <w:r w:rsidR="005F1371">
        <w:rPr>
          <w:rFonts w:ascii="Times New Roman" w:hAnsi="Times New Roman" w:cs="Times New Roman"/>
          <w:sz w:val="24"/>
          <w:szCs w:val="24"/>
        </w:rPr>
        <w:t>(MARTIN, 2014)</w:t>
      </w:r>
      <w:r w:rsidR="005F1371" w:rsidRPr="00332D83">
        <w:rPr>
          <w:rFonts w:ascii="Times New Roman" w:hAnsi="Times New Roman" w:cs="Times New Roman"/>
          <w:sz w:val="24"/>
          <w:szCs w:val="24"/>
        </w:rPr>
        <w:t xml:space="preserve">, </w:t>
      </w:r>
      <w:r w:rsidR="00631A3C" w:rsidRPr="00332D83">
        <w:rPr>
          <w:rFonts w:ascii="Times New Roman" w:hAnsi="Times New Roman" w:cs="Times New Roman"/>
          <w:sz w:val="24"/>
          <w:szCs w:val="24"/>
        </w:rPr>
        <w:t xml:space="preserve">e no desenvolvimento e </w:t>
      </w:r>
      <w:r w:rsidR="00F61DD9">
        <w:rPr>
          <w:rFonts w:ascii="Times New Roman" w:hAnsi="Times New Roman" w:cs="Times New Roman"/>
          <w:sz w:val="24"/>
          <w:szCs w:val="24"/>
        </w:rPr>
        <w:t xml:space="preserve">na </w:t>
      </w:r>
      <w:r w:rsidR="00631A3C" w:rsidRPr="00332D83">
        <w:rPr>
          <w:rFonts w:ascii="Times New Roman" w:hAnsi="Times New Roman" w:cs="Times New Roman"/>
          <w:sz w:val="24"/>
          <w:szCs w:val="24"/>
        </w:rPr>
        <w:t xml:space="preserve">proteção </w:t>
      </w:r>
      <w:r w:rsidR="00320EA0" w:rsidRPr="00332D83">
        <w:rPr>
          <w:rFonts w:ascii="Times New Roman" w:hAnsi="Times New Roman" w:cs="Times New Roman"/>
          <w:sz w:val="24"/>
          <w:szCs w:val="24"/>
        </w:rPr>
        <w:t>d</w:t>
      </w:r>
      <w:r w:rsidR="00631A3C" w:rsidRPr="00332D83">
        <w:rPr>
          <w:rFonts w:ascii="Times New Roman" w:hAnsi="Times New Roman" w:cs="Times New Roman"/>
          <w:sz w:val="24"/>
          <w:szCs w:val="24"/>
        </w:rPr>
        <w:t xml:space="preserve">os mercados secundários de ativos financeiros. Esse complexo integrado de mecanismos institucionais determinaram as características básicas dos sistemas de moeda e de crédito nacionais que se constituíram nas décadas seguintes e que se mantém, com alguns ajustes, até os dias atuais. </w:t>
      </w:r>
      <w:r w:rsidR="00692EFF" w:rsidRPr="00332D83">
        <w:rPr>
          <w:rFonts w:ascii="Times New Roman" w:hAnsi="Times New Roman" w:cs="Times New Roman"/>
          <w:sz w:val="24"/>
          <w:szCs w:val="24"/>
        </w:rPr>
        <w:t xml:space="preserve">A integração desses sistemas nacionais ao dominante permite a operação </w:t>
      </w:r>
      <w:r w:rsidR="00320EA0" w:rsidRPr="00332D83">
        <w:rPr>
          <w:rFonts w:ascii="Times New Roman" w:hAnsi="Times New Roman" w:cs="Times New Roman"/>
          <w:sz w:val="24"/>
          <w:szCs w:val="24"/>
        </w:rPr>
        <w:t>global</w:t>
      </w:r>
      <w:r w:rsidR="00692EFF" w:rsidRPr="00332D83">
        <w:rPr>
          <w:rFonts w:ascii="Times New Roman" w:hAnsi="Times New Roman" w:cs="Times New Roman"/>
          <w:sz w:val="24"/>
          <w:szCs w:val="24"/>
        </w:rPr>
        <w:t xml:space="preserve"> do sistema capitalista</w:t>
      </w:r>
      <w:r w:rsidR="00F12942">
        <w:rPr>
          <w:rFonts w:ascii="Times New Roman" w:hAnsi="Times New Roman" w:cs="Times New Roman"/>
          <w:sz w:val="24"/>
          <w:szCs w:val="24"/>
        </w:rPr>
        <w:t xml:space="preserve"> desde então</w:t>
      </w:r>
      <w:r w:rsidR="007F4382" w:rsidRPr="00332D83">
        <w:rPr>
          <w:rFonts w:ascii="Times New Roman" w:hAnsi="Times New Roman" w:cs="Times New Roman"/>
          <w:sz w:val="24"/>
          <w:szCs w:val="24"/>
        </w:rPr>
        <w:t>.</w:t>
      </w:r>
    </w:p>
    <w:p w:rsidR="00862EB5" w:rsidRDefault="00631A3C"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Essa “máquina” moderna de moeda e crédito teve uma característica internacional desde o início. A originalidade e a efetividade desse novo sistema </w:t>
      </w:r>
      <w:r w:rsidR="00B94C2E">
        <w:rPr>
          <w:rFonts w:ascii="Times New Roman" w:hAnsi="Times New Roman" w:cs="Times New Roman"/>
          <w:sz w:val="24"/>
          <w:szCs w:val="24"/>
        </w:rPr>
        <w:t>possibilitaram</w:t>
      </w:r>
      <w:r w:rsidRPr="00332D83">
        <w:rPr>
          <w:rFonts w:ascii="Times New Roman" w:hAnsi="Times New Roman" w:cs="Times New Roman"/>
          <w:sz w:val="24"/>
          <w:szCs w:val="24"/>
        </w:rPr>
        <w:t xml:space="preserve"> aos ingleses aumentar o volume de recursos a sua disposição – e de seus aliados – muito além da capacidade de seus inimigos. Consequentemente, a Inglaterra acumulou uma grande v</w:t>
      </w:r>
      <w:r w:rsidR="007F4382" w:rsidRPr="00332D83">
        <w:rPr>
          <w:rFonts w:ascii="Times New Roman" w:hAnsi="Times New Roman" w:cs="Times New Roman"/>
          <w:sz w:val="24"/>
          <w:szCs w:val="24"/>
        </w:rPr>
        <w:t>antagem nos conflitos militares</w:t>
      </w:r>
      <w:r w:rsidRPr="00332D83">
        <w:rPr>
          <w:rFonts w:ascii="Times New Roman" w:hAnsi="Times New Roman" w:cs="Times New Roman"/>
          <w:sz w:val="24"/>
          <w:szCs w:val="24"/>
        </w:rPr>
        <w:t xml:space="preserve"> que se sucederam nos séculos XVIII e XIX. Passou a ter condições muito melhores que seus rivais para levantar recur</w:t>
      </w:r>
      <w:r w:rsidR="000F3033">
        <w:rPr>
          <w:rFonts w:ascii="Times New Roman" w:hAnsi="Times New Roman" w:cs="Times New Roman"/>
          <w:sz w:val="24"/>
          <w:szCs w:val="24"/>
        </w:rPr>
        <w:t>sos para financiar suas guerras</w:t>
      </w:r>
      <w:r w:rsidRPr="00332D83">
        <w:rPr>
          <w:rFonts w:ascii="Times New Roman" w:hAnsi="Times New Roman" w:cs="Times New Roman"/>
          <w:sz w:val="24"/>
          <w:szCs w:val="24"/>
        </w:rPr>
        <w:t xml:space="preserve"> </w:t>
      </w:r>
      <w:r w:rsidR="000F3033">
        <w:rPr>
          <w:rFonts w:ascii="Times New Roman" w:hAnsi="Times New Roman" w:cs="Times New Roman"/>
          <w:sz w:val="24"/>
          <w:szCs w:val="24"/>
        </w:rPr>
        <w:t xml:space="preserve">(WHITLEY, 2013). </w:t>
      </w:r>
      <w:r w:rsidRPr="00332D83">
        <w:rPr>
          <w:rFonts w:ascii="Times New Roman" w:hAnsi="Times New Roman" w:cs="Times New Roman"/>
          <w:sz w:val="24"/>
          <w:szCs w:val="24"/>
        </w:rPr>
        <w:t>Ao mesmo tempo, essas mesmas inovações criaram</w:t>
      </w:r>
      <w:r w:rsidR="007F4382" w:rsidRPr="00332D83">
        <w:rPr>
          <w:rFonts w:ascii="Times New Roman" w:hAnsi="Times New Roman" w:cs="Times New Roman"/>
          <w:sz w:val="24"/>
          <w:szCs w:val="24"/>
        </w:rPr>
        <w:t xml:space="preserve"> as bases para que Londres se firmasse </w:t>
      </w:r>
      <w:r w:rsidRPr="00332D83">
        <w:rPr>
          <w:rFonts w:ascii="Times New Roman" w:hAnsi="Times New Roman" w:cs="Times New Roman"/>
          <w:sz w:val="24"/>
          <w:szCs w:val="24"/>
        </w:rPr>
        <w:t>como principal centro financeiro global enquanto a libra assumia o papel de moeda internacional dominante.</w:t>
      </w:r>
      <w:r w:rsidR="00862EB5">
        <w:rPr>
          <w:rFonts w:ascii="Times New Roman" w:hAnsi="Times New Roman" w:cs="Times New Roman"/>
          <w:sz w:val="24"/>
          <w:szCs w:val="24"/>
        </w:rPr>
        <w:t xml:space="preserve"> </w:t>
      </w:r>
    </w:p>
    <w:p w:rsidR="00696AF8" w:rsidRDefault="00631A3C"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Entretanto, </w:t>
      </w:r>
      <w:r w:rsidR="00692EFF" w:rsidRPr="00332D83">
        <w:rPr>
          <w:rFonts w:ascii="Times New Roman" w:hAnsi="Times New Roman" w:cs="Times New Roman"/>
          <w:sz w:val="24"/>
          <w:szCs w:val="24"/>
        </w:rPr>
        <w:t>a hipótese sustentada nesse artigo é a de que</w:t>
      </w:r>
      <w:r w:rsidR="00696AF8">
        <w:rPr>
          <w:rFonts w:ascii="Times New Roman" w:hAnsi="Times New Roman" w:cs="Times New Roman"/>
          <w:sz w:val="24"/>
          <w:szCs w:val="24"/>
        </w:rPr>
        <w:t>, a despeito d</w:t>
      </w:r>
      <w:r w:rsidRPr="00332D83">
        <w:rPr>
          <w:rFonts w:ascii="Times New Roman" w:hAnsi="Times New Roman" w:cs="Times New Roman"/>
          <w:sz w:val="24"/>
          <w:szCs w:val="24"/>
        </w:rPr>
        <w:t>a centralidade alcançada pelo sistema monetário e financeiro inglês entre 1870 e 1914</w:t>
      </w:r>
      <w:r w:rsidR="00F12942">
        <w:rPr>
          <w:rFonts w:ascii="Times New Roman" w:hAnsi="Times New Roman" w:cs="Times New Roman"/>
          <w:sz w:val="24"/>
          <w:szCs w:val="24"/>
        </w:rPr>
        <w:t>,</w:t>
      </w:r>
      <w:r w:rsidR="00862EB5">
        <w:rPr>
          <w:rFonts w:ascii="Times New Roman" w:hAnsi="Times New Roman" w:cs="Times New Roman"/>
          <w:sz w:val="24"/>
          <w:szCs w:val="24"/>
        </w:rPr>
        <w:t xml:space="preserve"> a</w:t>
      </w:r>
      <w:r w:rsidR="007F6245">
        <w:rPr>
          <w:rFonts w:ascii="Times New Roman" w:hAnsi="Times New Roman" w:cs="Times New Roman"/>
          <w:sz w:val="24"/>
          <w:szCs w:val="24"/>
        </w:rPr>
        <w:t xml:space="preserve"> </w:t>
      </w:r>
      <w:r w:rsidRPr="00332D83">
        <w:rPr>
          <w:rFonts w:ascii="Times New Roman" w:hAnsi="Times New Roman" w:cs="Times New Roman"/>
          <w:sz w:val="24"/>
          <w:szCs w:val="24"/>
        </w:rPr>
        <w:t xml:space="preserve">Inglaterra </w:t>
      </w:r>
      <w:r w:rsidR="00696AF8">
        <w:rPr>
          <w:rFonts w:ascii="Times New Roman" w:hAnsi="Times New Roman" w:cs="Times New Roman"/>
          <w:sz w:val="24"/>
          <w:szCs w:val="24"/>
        </w:rPr>
        <w:t xml:space="preserve">não </w:t>
      </w:r>
      <w:r w:rsidRPr="00332D83">
        <w:rPr>
          <w:rFonts w:ascii="Times New Roman" w:hAnsi="Times New Roman" w:cs="Times New Roman"/>
          <w:sz w:val="24"/>
          <w:szCs w:val="24"/>
        </w:rPr>
        <w:t>cheg</w:t>
      </w:r>
      <w:r w:rsidR="00862EB5">
        <w:rPr>
          <w:rFonts w:ascii="Times New Roman" w:hAnsi="Times New Roman" w:cs="Times New Roman"/>
          <w:sz w:val="24"/>
          <w:szCs w:val="24"/>
        </w:rPr>
        <w:t>ou</w:t>
      </w:r>
      <w:r w:rsidRPr="00332D83">
        <w:rPr>
          <w:rFonts w:ascii="Times New Roman" w:hAnsi="Times New Roman" w:cs="Times New Roman"/>
          <w:sz w:val="24"/>
          <w:szCs w:val="24"/>
        </w:rPr>
        <w:t xml:space="preserve"> a deter um poder monetário estrutural frente a seus principais rivais. A montagem do sistema monetário e financeiro global do século XIX não foi fruto de regras e normas impostas pelos ingleses. Foi uma decorrência das vantagens que cada um dos países relevantes na arena internacional viu na sua adesão ao monometalismo </w:t>
      </w:r>
      <w:r w:rsidR="007F6245">
        <w:rPr>
          <w:rFonts w:ascii="Times New Roman" w:hAnsi="Times New Roman" w:cs="Times New Roman"/>
          <w:sz w:val="24"/>
          <w:szCs w:val="24"/>
        </w:rPr>
        <w:t>britânico</w:t>
      </w:r>
      <w:r w:rsidRPr="00332D83">
        <w:rPr>
          <w:rFonts w:ascii="Times New Roman" w:hAnsi="Times New Roman" w:cs="Times New Roman"/>
          <w:sz w:val="24"/>
          <w:szCs w:val="24"/>
        </w:rPr>
        <w:t xml:space="preserve"> – o padrão ouro. </w:t>
      </w:r>
    </w:p>
    <w:p w:rsidR="00631A3C" w:rsidRPr="00332D83" w:rsidRDefault="00696AF8" w:rsidP="00276F21">
      <w:pPr>
        <w:spacing w:line="240" w:lineRule="auto"/>
        <w:jc w:val="both"/>
        <w:rPr>
          <w:rFonts w:ascii="Times New Roman" w:hAnsi="Times New Roman" w:cs="Times New Roman"/>
          <w:sz w:val="24"/>
          <w:szCs w:val="24"/>
        </w:rPr>
      </w:pPr>
      <w:r>
        <w:rPr>
          <w:rFonts w:ascii="Times New Roman" w:hAnsi="Times New Roman" w:cs="Times New Roman"/>
          <w:sz w:val="24"/>
          <w:szCs w:val="24"/>
        </w:rPr>
        <w:t>Q</w:t>
      </w:r>
      <w:r w:rsidR="007F6245" w:rsidRPr="007F6245">
        <w:rPr>
          <w:rFonts w:ascii="Times New Roman" w:hAnsi="Times New Roman" w:cs="Times New Roman"/>
          <w:sz w:val="24"/>
          <w:szCs w:val="24"/>
        </w:rPr>
        <w:t xml:space="preserve">uando o padrão ouro deixou de poder ser gerido pelos ingleses, a Grã-Bretanha não teve poder para impor às demais potências um novo sistema monetário internacional que lhe fosse favorável. Pelo contrário, só lhe restou </w:t>
      </w:r>
      <w:r w:rsidR="00862EB5">
        <w:rPr>
          <w:rFonts w:ascii="Times New Roman" w:hAnsi="Times New Roman" w:cs="Times New Roman"/>
          <w:sz w:val="24"/>
          <w:szCs w:val="24"/>
        </w:rPr>
        <w:t xml:space="preserve">a </w:t>
      </w:r>
      <w:r w:rsidR="007F6245" w:rsidRPr="007F6245">
        <w:rPr>
          <w:rFonts w:ascii="Times New Roman" w:hAnsi="Times New Roman" w:cs="Times New Roman"/>
          <w:sz w:val="24"/>
          <w:szCs w:val="24"/>
        </w:rPr>
        <w:t>opção de submeter os países que estavam sob seu domínio po</w:t>
      </w:r>
      <w:r w:rsidR="00D2682C">
        <w:rPr>
          <w:rFonts w:ascii="Times New Roman" w:hAnsi="Times New Roman" w:cs="Times New Roman"/>
          <w:sz w:val="24"/>
          <w:szCs w:val="24"/>
        </w:rPr>
        <w:t>lítico direto – o Império – ou</w:t>
      </w:r>
      <w:r w:rsidR="007F6245" w:rsidRPr="007F6245">
        <w:rPr>
          <w:rFonts w:ascii="Times New Roman" w:hAnsi="Times New Roman" w:cs="Times New Roman"/>
          <w:sz w:val="24"/>
          <w:szCs w:val="24"/>
        </w:rPr>
        <w:t xml:space="preserve"> </w:t>
      </w:r>
      <w:r w:rsidR="00862EB5" w:rsidRPr="007F6245">
        <w:rPr>
          <w:rFonts w:ascii="Times New Roman" w:hAnsi="Times New Roman" w:cs="Times New Roman"/>
          <w:sz w:val="24"/>
          <w:szCs w:val="24"/>
        </w:rPr>
        <w:t>econômi</w:t>
      </w:r>
      <w:r w:rsidR="00862EB5">
        <w:rPr>
          <w:rFonts w:ascii="Times New Roman" w:hAnsi="Times New Roman" w:cs="Times New Roman"/>
          <w:sz w:val="24"/>
          <w:szCs w:val="24"/>
        </w:rPr>
        <w:t>co</w:t>
      </w:r>
      <w:r w:rsidR="007F6245" w:rsidRPr="007F6245">
        <w:rPr>
          <w:rFonts w:ascii="Times New Roman" w:hAnsi="Times New Roman" w:cs="Times New Roman"/>
          <w:sz w:val="24"/>
          <w:szCs w:val="24"/>
        </w:rPr>
        <w:t xml:space="preserve"> – como a Argentina – </w:t>
      </w:r>
      <w:r w:rsidR="006515CC">
        <w:rPr>
          <w:rFonts w:ascii="Times New Roman" w:hAnsi="Times New Roman" w:cs="Times New Roman"/>
          <w:sz w:val="24"/>
          <w:szCs w:val="24"/>
        </w:rPr>
        <w:t>para formar</w:t>
      </w:r>
      <w:r w:rsidR="007F6245" w:rsidRPr="007F6245">
        <w:rPr>
          <w:rFonts w:ascii="Times New Roman" w:hAnsi="Times New Roman" w:cs="Times New Roman"/>
          <w:sz w:val="24"/>
          <w:szCs w:val="24"/>
        </w:rPr>
        <w:t xml:space="preserve"> um bloco isolado</w:t>
      </w:r>
      <w:r w:rsidR="00862EB5">
        <w:rPr>
          <w:rFonts w:ascii="Times New Roman" w:hAnsi="Times New Roman" w:cs="Times New Roman"/>
          <w:sz w:val="24"/>
          <w:szCs w:val="24"/>
        </w:rPr>
        <w:t>,</w:t>
      </w:r>
      <w:r w:rsidR="007F6245" w:rsidRPr="007F6245">
        <w:rPr>
          <w:rFonts w:ascii="Times New Roman" w:hAnsi="Times New Roman" w:cs="Times New Roman"/>
          <w:sz w:val="24"/>
          <w:szCs w:val="24"/>
        </w:rPr>
        <w:t xml:space="preserve"> que manteve a libra </w:t>
      </w:r>
      <w:r w:rsidR="006515CC">
        <w:rPr>
          <w:rFonts w:ascii="Times New Roman" w:hAnsi="Times New Roman" w:cs="Times New Roman"/>
          <w:sz w:val="24"/>
          <w:szCs w:val="24"/>
        </w:rPr>
        <w:t xml:space="preserve">inconversível </w:t>
      </w:r>
      <w:r w:rsidR="007F6245" w:rsidRPr="007F6245">
        <w:rPr>
          <w:rFonts w:ascii="Times New Roman" w:hAnsi="Times New Roman" w:cs="Times New Roman"/>
          <w:sz w:val="24"/>
          <w:szCs w:val="24"/>
        </w:rPr>
        <w:t xml:space="preserve">como </w:t>
      </w:r>
      <w:r w:rsidR="006515CC">
        <w:rPr>
          <w:rFonts w:ascii="Times New Roman" w:hAnsi="Times New Roman" w:cs="Times New Roman"/>
          <w:sz w:val="24"/>
          <w:szCs w:val="24"/>
        </w:rPr>
        <w:t xml:space="preserve">sua </w:t>
      </w:r>
      <w:r w:rsidR="007F6245" w:rsidRPr="007F6245">
        <w:rPr>
          <w:rFonts w:ascii="Times New Roman" w:hAnsi="Times New Roman" w:cs="Times New Roman"/>
          <w:sz w:val="24"/>
          <w:szCs w:val="24"/>
        </w:rPr>
        <w:t>moeda internacional comum.</w:t>
      </w:r>
    </w:p>
    <w:p w:rsidR="00631A3C" w:rsidRPr="00332D83" w:rsidRDefault="000F3033" w:rsidP="00276F2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Essa</w:t>
      </w:r>
      <w:r w:rsidR="00631A3C" w:rsidRPr="00332D83">
        <w:rPr>
          <w:rFonts w:ascii="Times New Roman" w:hAnsi="Times New Roman" w:cs="Times New Roman"/>
          <w:sz w:val="24"/>
          <w:szCs w:val="24"/>
        </w:rPr>
        <w:t xml:space="preserve"> experiência inglesa contrasta com a</w:t>
      </w:r>
      <w:r w:rsidR="00D52B1E">
        <w:rPr>
          <w:rFonts w:ascii="Times New Roman" w:hAnsi="Times New Roman" w:cs="Times New Roman"/>
          <w:sz w:val="24"/>
          <w:szCs w:val="24"/>
        </w:rPr>
        <w:t xml:space="preserve"> da</w:t>
      </w:r>
      <w:r w:rsidR="00696AF8">
        <w:rPr>
          <w:rFonts w:ascii="Times New Roman" w:hAnsi="Times New Roman" w:cs="Times New Roman"/>
          <w:sz w:val="24"/>
          <w:szCs w:val="24"/>
        </w:rPr>
        <w:t xml:space="preserve"> supremacia monetária</w:t>
      </w:r>
      <w:r w:rsidR="00631A3C" w:rsidRPr="00332D83">
        <w:rPr>
          <w:rFonts w:ascii="Times New Roman" w:hAnsi="Times New Roman" w:cs="Times New Roman"/>
          <w:sz w:val="24"/>
          <w:szCs w:val="24"/>
        </w:rPr>
        <w:t xml:space="preserve"> americana a partir do final da 2ª Guerra Mundial. A centralidade dos Estados Unidos e da sua moeda no sistema monetário </w:t>
      </w:r>
      <w:r w:rsidR="00320EA0" w:rsidRPr="00332D83">
        <w:rPr>
          <w:rFonts w:ascii="Times New Roman" w:hAnsi="Times New Roman" w:cs="Times New Roman"/>
          <w:sz w:val="24"/>
          <w:szCs w:val="24"/>
        </w:rPr>
        <w:t>e financeiro internacional foi, de</w:t>
      </w:r>
      <w:r>
        <w:rPr>
          <w:rFonts w:ascii="Times New Roman" w:hAnsi="Times New Roman" w:cs="Times New Roman"/>
          <w:sz w:val="24"/>
          <w:szCs w:val="24"/>
        </w:rPr>
        <w:t>sde a</w:t>
      </w:r>
      <w:r w:rsidR="00320EA0" w:rsidRPr="00332D83">
        <w:rPr>
          <w:rFonts w:ascii="Times New Roman" w:hAnsi="Times New Roman" w:cs="Times New Roman"/>
          <w:sz w:val="24"/>
          <w:szCs w:val="24"/>
        </w:rPr>
        <w:t xml:space="preserve"> partida, </w:t>
      </w:r>
      <w:r w:rsidR="00631A3C" w:rsidRPr="00332D83">
        <w:rPr>
          <w:rFonts w:ascii="Times New Roman" w:hAnsi="Times New Roman" w:cs="Times New Roman"/>
          <w:sz w:val="24"/>
          <w:szCs w:val="24"/>
        </w:rPr>
        <w:t>fundada no poder monetário estrutural americano. A vitória americana sobre os inimigos do Eixo e sobre as pretensões imperiais inglesas conferiu aos EUA uma posição singular e sustentável que lhes permitiu configurar, em seu benefício, os vários contornos que o sistema monetário internacional viria a ter nas décadas seguintes.</w:t>
      </w:r>
    </w:p>
    <w:p w:rsidR="007F4382" w:rsidRPr="00332D83" w:rsidRDefault="00696AF8" w:rsidP="00276F21">
      <w:pPr>
        <w:spacing w:line="240" w:lineRule="auto"/>
        <w:jc w:val="both"/>
        <w:rPr>
          <w:rFonts w:ascii="Times New Roman" w:hAnsi="Times New Roman" w:cs="Times New Roman"/>
          <w:sz w:val="24"/>
          <w:szCs w:val="24"/>
        </w:rPr>
      </w:pPr>
      <w:r>
        <w:rPr>
          <w:rFonts w:ascii="Times New Roman" w:hAnsi="Times New Roman" w:cs="Times New Roman"/>
          <w:sz w:val="24"/>
          <w:szCs w:val="24"/>
        </w:rPr>
        <w:t>Diante desse cenário, e</w:t>
      </w:r>
      <w:r w:rsidR="00692EFF" w:rsidRPr="00332D83">
        <w:rPr>
          <w:rFonts w:ascii="Times New Roman" w:hAnsi="Times New Roman" w:cs="Times New Roman"/>
          <w:sz w:val="24"/>
          <w:szCs w:val="24"/>
        </w:rPr>
        <w:t xml:space="preserve">ste texto está divido em </w:t>
      </w:r>
      <w:r w:rsidR="007F6245">
        <w:rPr>
          <w:rFonts w:ascii="Times New Roman" w:hAnsi="Times New Roman" w:cs="Times New Roman"/>
          <w:sz w:val="24"/>
          <w:szCs w:val="24"/>
        </w:rPr>
        <w:t>três</w:t>
      </w:r>
      <w:r w:rsidR="00692EFF" w:rsidRPr="00332D83">
        <w:rPr>
          <w:rFonts w:ascii="Times New Roman" w:hAnsi="Times New Roman" w:cs="Times New Roman"/>
          <w:sz w:val="24"/>
          <w:szCs w:val="24"/>
        </w:rPr>
        <w:t xml:space="preserve"> seções, além dessa introdução</w:t>
      </w:r>
      <w:r w:rsidR="007F6245">
        <w:rPr>
          <w:rFonts w:ascii="Times New Roman" w:hAnsi="Times New Roman" w:cs="Times New Roman"/>
          <w:sz w:val="24"/>
          <w:szCs w:val="24"/>
        </w:rPr>
        <w:t xml:space="preserve"> e da conclusão</w:t>
      </w:r>
      <w:r w:rsidR="00692EFF" w:rsidRPr="00332D83">
        <w:rPr>
          <w:rFonts w:ascii="Times New Roman" w:hAnsi="Times New Roman" w:cs="Times New Roman"/>
          <w:sz w:val="24"/>
          <w:szCs w:val="24"/>
        </w:rPr>
        <w:t>. A primeira aborda de modo sucinto as questões da hierarquia das moedas e do poder monetário estrutural do pont</w:t>
      </w:r>
      <w:r w:rsidR="00320EA0" w:rsidRPr="00332D83">
        <w:rPr>
          <w:rFonts w:ascii="Times New Roman" w:hAnsi="Times New Roman" w:cs="Times New Roman"/>
          <w:sz w:val="24"/>
          <w:szCs w:val="24"/>
        </w:rPr>
        <w:t>o de vista teórico e conceitual, em particular, a</w:t>
      </w:r>
      <w:r w:rsidR="00692EFF" w:rsidRPr="00332D83">
        <w:rPr>
          <w:rFonts w:ascii="Times New Roman" w:hAnsi="Times New Roman" w:cs="Times New Roman"/>
          <w:sz w:val="24"/>
          <w:szCs w:val="24"/>
        </w:rPr>
        <w:t xml:space="preserve">s contribuições de Benjamim Cohen e Susan Strange. A segunda seção </w:t>
      </w:r>
      <w:r w:rsidR="007F6245">
        <w:rPr>
          <w:rFonts w:ascii="Times New Roman" w:hAnsi="Times New Roman" w:cs="Times New Roman"/>
          <w:sz w:val="24"/>
          <w:szCs w:val="24"/>
        </w:rPr>
        <w:t>a</w:t>
      </w:r>
      <w:r w:rsidR="00A629BC" w:rsidRPr="00332D83">
        <w:rPr>
          <w:rFonts w:ascii="Times New Roman" w:hAnsi="Times New Roman" w:cs="Times New Roman"/>
          <w:sz w:val="24"/>
          <w:szCs w:val="24"/>
        </w:rPr>
        <w:t>nalisa</w:t>
      </w:r>
      <w:r w:rsidR="007F6245">
        <w:rPr>
          <w:rFonts w:ascii="Times New Roman" w:hAnsi="Times New Roman" w:cs="Times New Roman"/>
          <w:sz w:val="24"/>
          <w:szCs w:val="24"/>
        </w:rPr>
        <w:t xml:space="preserve"> </w:t>
      </w:r>
      <w:r w:rsidR="00A629BC" w:rsidRPr="00332D83">
        <w:rPr>
          <w:rFonts w:ascii="Times New Roman" w:hAnsi="Times New Roman" w:cs="Times New Roman"/>
          <w:sz w:val="24"/>
          <w:szCs w:val="24"/>
        </w:rPr>
        <w:t>do ponto de vista histórico o papel que a Inglaterra e a libra esterlina tiveram na montagem do padrão ouro. O Banco da Inglaterra (</w:t>
      </w:r>
      <w:proofErr w:type="spellStart"/>
      <w:r w:rsidR="00A629BC" w:rsidRPr="00332D83">
        <w:rPr>
          <w:rFonts w:ascii="Times New Roman" w:hAnsi="Times New Roman" w:cs="Times New Roman"/>
          <w:sz w:val="24"/>
          <w:szCs w:val="24"/>
        </w:rPr>
        <w:t>BoE</w:t>
      </w:r>
      <w:proofErr w:type="spellEnd"/>
      <w:r w:rsidR="00A629BC" w:rsidRPr="00332D83">
        <w:rPr>
          <w:rFonts w:ascii="Times New Roman" w:hAnsi="Times New Roman" w:cs="Times New Roman"/>
          <w:sz w:val="24"/>
          <w:szCs w:val="24"/>
        </w:rPr>
        <w:t>) tinha uma função sistêmica relevante e isso gerava vantagens para os bancos e para o governo i</w:t>
      </w:r>
      <w:r w:rsidR="007F6245">
        <w:rPr>
          <w:rFonts w:ascii="Times New Roman" w:hAnsi="Times New Roman" w:cs="Times New Roman"/>
          <w:sz w:val="24"/>
          <w:szCs w:val="24"/>
        </w:rPr>
        <w:t>nglês. Entretanto, a liderança britânica</w:t>
      </w:r>
      <w:r w:rsidR="00A629BC" w:rsidRPr="00332D83">
        <w:rPr>
          <w:rFonts w:ascii="Times New Roman" w:hAnsi="Times New Roman" w:cs="Times New Roman"/>
          <w:sz w:val="24"/>
          <w:szCs w:val="24"/>
        </w:rPr>
        <w:t xml:space="preserve"> tinha que obedecer a limites claros, entre os quais, o mais importante era a conversibilidade da sua moeda em ouro. Isso se tornou um elemento de grande fragilidade</w:t>
      </w:r>
      <w:r w:rsidR="007F4382" w:rsidRPr="00332D83">
        <w:rPr>
          <w:rFonts w:ascii="Times New Roman" w:hAnsi="Times New Roman" w:cs="Times New Roman"/>
          <w:sz w:val="24"/>
          <w:szCs w:val="24"/>
        </w:rPr>
        <w:t xml:space="preserve"> para a Inglaterra a partir de 1914</w:t>
      </w:r>
      <w:r w:rsidR="00A629BC" w:rsidRPr="00332D83">
        <w:rPr>
          <w:rFonts w:ascii="Times New Roman" w:hAnsi="Times New Roman" w:cs="Times New Roman"/>
          <w:sz w:val="24"/>
          <w:szCs w:val="24"/>
        </w:rPr>
        <w:t>.</w:t>
      </w:r>
    </w:p>
    <w:p w:rsidR="0017521B" w:rsidRDefault="00A629BC"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 A </w:t>
      </w:r>
      <w:r w:rsidR="007F6245">
        <w:rPr>
          <w:rFonts w:ascii="Times New Roman" w:hAnsi="Times New Roman" w:cs="Times New Roman"/>
          <w:sz w:val="24"/>
          <w:szCs w:val="24"/>
        </w:rPr>
        <w:t>terceira</w:t>
      </w:r>
      <w:r w:rsidRPr="00332D83">
        <w:rPr>
          <w:rFonts w:ascii="Times New Roman" w:hAnsi="Times New Roman" w:cs="Times New Roman"/>
          <w:sz w:val="24"/>
          <w:szCs w:val="24"/>
        </w:rPr>
        <w:t xml:space="preserve"> seção </w:t>
      </w:r>
      <w:r w:rsidR="0017521B" w:rsidRPr="00332D83">
        <w:rPr>
          <w:rFonts w:ascii="Times New Roman" w:hAnsi="Times New Roman" w:cs="Times New Roman"/>
          <w:sz w:val="24"/>
          <w:szCs w:val="24"/>
        </w:rPr>
        <w:t>aborda os</w:t>
      </w:r>
      <w:r w:rsidRPr="00332D83">
        <w:rPr>
          <w:rFonts w:ascii="Times New Roman" w:hAnsi="Times New Roman" w:cs="Times New Roman"/>
          <w:sz w:val="24"/>
          <w:szCs w:val="24"/>
        </w:rPr>
        <w:t xml:space="preserve"> sistemas monetários que surgiram no século XX, ambos </w:t>
      </w:r>
      <w:r w:rsidR="00751F57" w:rsidRPr="00332D83">
        <w:rPr>
          <w:rFonts w:ascii="Times New Roman" w:hAnsi="Times New Roman" w:cs="Times New Roman"/>
          <w:sz w:val="24"/>
          <w:szCs w:val="24"/>
        </w:rPr>
        <w:t>centrados</w:t>
      </w:r>
      <w:r w:rsidRPr="00332D83">
        <w:rPr>
          <w:rFonts w:ascii="Times New Roman" w:hAnsi="Times New Roman" w:cs="Times New Roman"/>
          <w:sz w:val="24"/>
          <w:szCs w:val="24"/>
        </w:rPr>
        <w:t xml:space="preserve"> no dólar americano. </w:t>
      </w:r>
      <w:r w:rsidR="00751F57" w:rsidRPr="00332D83">
        <w:rPr>
          <w:rFonts w:ascii="Times New Roman" w:hAnsi="Times New Roman" w:cs="Times New Roman"/>
          <w:sz w:val="24"/>
          <w:szCs w:val="24"/>
        </w:rPr>
        <w:t>Sua</w:t>
      </w:r>
      <w:r w:rsidRPr="00332D83">
        <w:rPr>
          <w:rFonts w:ascii="Times New Roman" w:hAnsi="Times New Roman" w:cs="Times New Roman"/>
          <w:sz w:val="24"/>
          <w:szCs w:val="24"/>
        </w:rPr>
        <w:t xml:space="preserve"> gestação e operação se </w:t>
      </w:r>
      <w:r w:rsidR="00751F57" w:rsidRPr="00332D83">
        <w:rPr>
          <w:rFonts w:ascii="Times New Roman" w:hAnsi="Times New Roman" w:cs="Times New Roman"/>
          <w:sz w:val="24"/>
          <w:szCs w:val="24"/>
        </w:rPr>
        <w:t>apoiaram</w:t>
      </w:r>
      <w:r w:rsidRPr="00332D83">
        <w:rPr>
          <w:rFonts w:ascii="Times New Roman" w:hAnsi="Times New Roman" w:cs="Times New Roman"/>
          <w:sz w:val="24"/>
          <w:szCs w:val="24"/>
        </w:rPr>
        <w:t xml:space="preserve"> numa base de poder diferente do antigo regime ouro-libra já que </w:t>
      </w:r>
      <w:r w:rsidR="007F4382" w:rsidRPr="00332D83">
        <w:rPr>
          <w:rFonts w:ascii="Times New Roman" w:hAnsi="Times New Roman" w:cs="Times New Roman"/>
          <w:sz w:val="24"/>
          <w:szCs w:val="24"/>
        </w:rPr>
        <w:t xml:space="preserve">a liderança americana se </w:t>
      </w:r>
      <w:r w:rsidR="00696AF8">
        <w:rPr>
          <w:rFonts w:ascii="Times New Roman" w:hAnsi="Times New Roman" w:cs="Times New Roman"/>
          <w:sz w:val="24"/>
          <w:szCs w:val="24"/>
        </w:rPr>
        <w:t>apoia</w:t>
      </w:r>
      <w:r w:rsidR="007F4382" w:rsidRPr="00332D83">
        <w:rPr>
          <w:rFonts w:ascii="Times New Roman" w:hAnsi="Times New Roman" w:cs="Times New Roman"/>
          <w:sz w:val="24"/>
          <w:szCs w:val="24"/>
        </w:rPr>
        <w:t xml:space="preserve"> em </w:t>
      </w:r>
      <w:r w:rsidR="00696AF8">
        <w:rPr>
          <w:rFonts w:ascii="Times New Roman" w:hAnsi="Times New Roman" w:cs="Times New Roman"/>
          <w:sz w:val="24"/>
          <w:szCs w:val="24"/>
        </w:rPr>
        <w:t>uma grande assimetria de poder</w:t>
      </w:r>
      <w:r w:rsidR="00F12942">
        <w:rPr>
          <w:rFonts w:ascii="Times New Roman" w:hAnsi="Times New Roman" w:cs="Times New Roman"/>
          <w:sz w:val="24"/>
          <w:szCs w:val="24"/>
        </w:rPr>
        <w:t xml:space="preserve"> </w:t>
      </w:r>
      <w:r w:rsidR="0017521B" w:rsidRPr="00332D83">
        <w:rPr>
          <w:rFonts w:ascii="Times New Roman" w:hAnsi="Times New Roman" w:cs="Times New Roman"/>
          <w:sz w:val="24"/>
          <w:szCs w:val="24"/>
        </w:rPr>
        <w:t xml:space="preserve">frente a seus rivais. </w:t>
      </w:r>
      <w:r w:rsidR="00CA5FBF">
        <w:rPr>
          <w:rFonts w:ascii="Times New Roman" w:hAnsi="Times New Roman" w:cs="Times New Roman"/>
          <w:sz w:val="24"/>
          <w:szCs w:val="24"/>
        </w:rPr>
        <w:t>Seguem-se as conclusões.</w:t>
      </w:r>
    </w:p>
    <w:p w:rsidR="007872F4" w:rsidRPr="007F6245" w:rsidRDefault="007872F4" w:rsidP="00276F21">
      <w:pPr>
        <w:spacing w:line="240" w:lineRule="auto"/>
        <w:rPr>
          <w:rFonts w:ascii="Times New Roman" w:hAnsi="Times New Roman" w:cs="Times New Roman"/>
          <w:b/>
          <w:sz w:val="24"/>
          <w:szCs w:val="24"/>
        </w:rPr>
      </w:pPr>
      <w:r w:rsidRPr="007F6245">
        <w:rPr>
          <w:rFonts w:ascii="Times New Roman" w:hAnsi="Times New Roman" w:cs="Times New Roman"/>
          <w:b/>
          <w:sz w:val="24"/>
          <w:szCs w:val="24"/>
        </w:rPr>
        <w:t xml:space="preserve"> Hierarquia de Moedas</w:t>
      </w:r>
      <w:r w:rsidR="00696AF8">
        <w:rPr>
          <w:rFonts w:ascii="Times New Roman" w:hAnsi="Times New Roman" w:cs="Times New Roman"/>
          <w:b/>
          <w:sz w:val="24"/>
          <w:szCs w:val="24"/>
        </w:rPr>
        <w:t xml:space="preserve"> e </w:t>
      </w:r>
      <w:r w:rsidR="00037685" w:rsidRPr="007F6245">
        <w:rPr>
          <w:rFonts w:ascii="Times New Roman" w:hAnsi="Times New Roman" w:cs="Times New Roman"/>
          <w:b/>
          <w:sz w:val="24"/>
          <w:szCs w:val="24"/>
        </w:rPr>
        <w:t xml:space="preserve">Poder </w:t>
      </w:r>
      <w:r w:rsidR="006C2B0F" w:rsidRPr="007F6245">
        <w:rPr>
          <w:rFonts w:ascii="Times New Roman" w:hAnsi="Times New Roman" w:cs="Times New Roman"/>
          <w:b/>
          <w:sz w:val="24"/>
          <w:szCs w:val="24"/>
        </w:rPr>
        <w:t xml:space="preserve">Monetário </w:t>
      </w:r>
      <w:r w:rsidR="00037685" w:rsidRPr="007F6245">
        <w:rPr>
          <w:rFonts w:ascii="Times New Roman" w:hAnsi="Times New Roman" w:cs="Times New Roman"/>
          <w:b/>
          <w:sz w:val="24"/>
          <w:szCs w:val="24"/>
        </w:rPr>
        <w:t>Estrutural</w:t>
      </w:r>
      <w:r w:rsidR="006E6EAE" w:rsidRPr="007F6245">
        <w:rPr>
          <w:rFonts w:ascii="Times New Roman" w:hAnsi="Times New Roman" w:cs="Times New Roman"/>
          <w:b/>
          <w:sz w:val="24"/>
          <w:szCs w:val="24"/>
        </w:rPr>
        <w:t xml:space="preserve"> </w:t>
      </w:r>
    </w:p>
    <w:p w:rsidR="003E26D9" w:rsidRPr="00332D83" w:rsidRDefault="00D14C7C"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O </w:t>
      </w:r>
      <w:r w:rsidR="009156C8" w:rsidRPr="00332D83">
        <w:rPr>
          <w:rFonts w:ascii="Times New Roman" w:hAnsi="Times New Roman" w:cs="Times New Roman"/>
          <w:sz w:val="24"/>
          <w:szCs w:val="24"/>
        </w:rPr>
        <w:t xml:space="preserve">dólar </w:t>
      </w:r>
      <w:r w:rsidRPr="00332D83">
        <w:rPr>
          <w:rFonts w:ascii="Times New Roman" w:hAnsi="Times New Roman" w:cs="Times New Roman"/>
          <w:sz w:val="24"/>
          <w:szCs w:val="24"/>
        </w:rPr>
        <w:t>se sustenta no topo da</w:t>
      </w:r>
      <w:r w:rsidR="009156C8" w:rsidRPr="00332D83">
        <w:rPr>
          <w:rFonts w:ascii="Times New Roman" w:hAnsi="Times New Roman" w:cs="Times New Roman"/>
          <w:sz w:val="24"/>
          <w:szCs w:val="24"/>
        </w:rPr>
        <w:t xml:space="preserve"> hierarquia monetária internacional </w:t>
      </w:r>
      <w:r w:rsidRPr="00332D83">
        <w:rPr>
          <w:rFonts w:ascii="Times New Roman" w:hAnsi="Times New Roman" w:cs="Times New Roman"/>
          <w:sz w:val="24"/>
          <w:szCs w:val="24"/>
        </w:rPr>
        <w:t>desde 1945</w:t>
      </w:r>
      <w:r w:rsidR="009156C8" w:rsidRPr="00332D83">
        <w:rPr>
          <w:rFonts w:ascii="Times New Roman" w:hAnsi="Times New Roman" w:cs="Times New Roman"/>
          <w:sz w:val="24"/>
          <w:szCs w:val="24"/>
        </w:rPr>
        <w:t xml:space="preserve">. </w:t>
      </w:r>
      <w:r w:rsidR="00CA5FBF">
        <w:rPr>
          <w:rFonts w:ascii="Times New Roman" w:hAnsi="Times New Roman" w:cs="Times New Roman"/>
          <w:sz w:val="24"/>
          <w:szCs w:val="24"/>
        </w:rPr>
        <w:t>É,</w:t>
      </w:r>
      <w:r w:rsidR="00462F9C" w:rsidRPr="00332D83">
        <w:rPr>
          <w:rFonts w:ascii="Times New Roman" w:hAnsi="Times New Roman" w:cs="Times New Roman"/>
          <w:sz w:val="24"/>
          <w:szCs w:val="24"/>
        </w:rPr>
        <w:t xml:space="preserve"> de longe</w:t>
      </w:r>
      <w:r w:rsidR="00CA5FBF">
        <w:rPr>
          <w:rFonts w:ascii="Times New Roman" w:hAnsi="Times New Roman" w:cs="Times New Roman"/>
          <w:sz w:val="24"/>
          <w:szCs w:val="24"/>
        </w:rPr>
        <w:t>,</w:t>
      </w:r>
      <w:r w:rsidR="00462F9C" w:rsidRPr="00332D83">
        <w:rPr>
          <w:rFonts w:ascii="Times New Roman" w:hAnsi="Times New Roman" w:cs="Times New Roman"/>
          <w:sz w:val="24"/>
          <w:szCs w:val="24"/>
        </w:rPr>
        <w:t xml:space="preserve"> a</w:t>
      </w:r>
      <w:r w:rsidR="00CA5FBF">
        <w:rPr>
          <w:rFonts w:ascii="Times New Roman" w:hAnsi="Times New Roman" w:cs="Times New Roman"/>
          <w:sz w:val="24"/>
          <w:szCs w:val="24"/>
        </w:rPr>
        <w:t xml:space="preserve"> moeda</w:t>
      </w:r>
      <w:r w:rsidR="00462F9C" w:rsidRPr="00332D83">
        <w:rPr>
          <w:rFonts w:ascii="Times New Roman" w:hAnsi="Times New Roman" w:cs="Times New Roman"/>
          <w:sz w:val="24"/>
          <w:szCs w:val="24"/>
        </w:rPr>
        <w:t xml:space="preserve"> mais utilizada em todo o mundo. S</w:t>
      </w:r>
      <w:r w:rsidR="008E07C9" w:rsidRPr="00332D83">
        <w:rPr>
          <w:rFonts w:ascii="Times New Roman" w:hAnsi="Times New Roman" w:cs="Times New Roman"/>
          <w:sz w:val="24"/>
          <w:szCs w:val="24"/>
        </w:rPr>
        <w:t xml:space="preserve">egundo o </w:t>
      </w:r>
      <w:r w:rsidR="00DB6CEA" w:rsidRPr="00332D83">
        <w:rPr>
          <w:rFonts w:ascii="Times New Roman" w:hAnsi="Times New Roman" w:cs="Times New Roman"/>
          <w:sz w:val="24"/>
          <w:szCs w:val="24"/>
        </w:rPr>
        <w:t>SWIFT</w:t>
      </w:r>
      <w:r w:rsidR="003E26D9" w:rsidRPr="00332D83">
        <w:rPr>
          <w:rFonts w:ascii="Times New Roman" w:hAnsi="Times New Roman" w:cs="Times New Roman"/>
          <w:sz w:val="24"/>
          <w:szCs w:val="24"/>
        </w:rPr>
        <w:t xml:space="preserve"> (2015),</w:t>
      </w:r>
      <w:r w:rsidR="00065023" w:rsidRPr="00332D83">
        <w:rPr>
          <w:rFonts w:ascii="Times New Roman" w:hAnsi="Times New Roman" w:cs="Times New Roman"/>
          <w:sz w:val="24"/>
          <w:szCs w:val="24"/>
        </w:rPr>
        <w:t xml:space="preserve"> a moeda americana era</w:t>
      </w:r>
      <w:r w:rsidR="003E26D9" w:rsidRPr="00332D83">
        <w:rPr>
          <w:rFonts w:ascii="Times New Roman" w:hAnsi="Times New Roman" w:cs="Times New Roman"/>
          <w:sz w:val="24"/>
          <w:szCs w:val="24"/>
        </w:rPr>
        <w:t xml:space="preserve"> responsável por</w:t>
      </w:r>
      <w:r w:rsidR="00DB6CEA" w:rsidRPr="00332D83">
        <w:rPr>
          <w:rFonts w:ascii="Times New Roman" w:hAnsi="Times New Roman" w:cs="Times New Roman"/>
          <w:sz w:val="24"/>
          <w:szCs w:val="24"/>
        </w:rPr>
        <w:t xml:space="preserve"> 52%</w:t>
      </w:r>
      <w:r w:rsidR="003E26D9" w:rsidRPr="00332D83">
        <w:rPr>
          <w:rFonts w:ascii="Times New Roman" w:hAnsi="Times New Roman" w:cs="Times New Roman"/>
          <w:sz w:val="24"/>
          <w:szCs w:val="24"/>
        </w:rPr>
        <w:t xml:space="preserve"> do volume total de liquidações </w:t>
      </w:r>
      <w:r w:rsidR="00065023" w:rsidRPr="00332D83">
        <w:rPr>
          <w:rFonts w:ascii="Times New Roman" w:hAnsi="Times New Roman" w:cs="Times New Roman"/>
          <w:sz w:val="24"/>
          <w:szCs w:val="24"/>
        </w:rPr>
        <w:t xml:space="preserve">desse sistema de transações internacionais </w:t>
      </w:r>
      <w:r w:rsidR="003E26D9" w:rsidRPr="00332D83">
        <w:rPr>
          <w:rFonts w:ascii="Times New Roman" w:hAnsi="Times New Roman" w:cs="Times New Roman"/>
          <w:sz w:val="24"/>
          <w:szCs w:val="24"/>
        </w:rPr>
        <w:t xml:space="preserve">em </w:t>
      </w:r>
      <w:r w:rsidR="009156C8" w:rsidRPr="00332D83">
        <w:rPr>
          <w:rFonts w:ascii="Times New Roman" w:hAnsi="Times New Roman" w:cs="Times New Roman"/>
          <w:sz w:val="24"/>
          <w:szCs w:val="24"/>
        </w:rPr>
        <w:t>201</w:t>
      </w:r>
      <w:r w:rsidR="003E26D9" w:rsidRPr="00332D83">
        <w:rPr>
          <w:rFonts w:ascii="Times New Roman" w:hAnsi="Times New Roman" w:cs="Times New Roman"/>
          <w:sz w:val="24"/>
          <w:szCs w:val="24"/>
        </w:rPr>
        <w:t xml:space="preserve">4. </w:t>
      </w:r>
      <w:r w:rsidR="009156C8" w:rsidRPr="00332D83">
        <w:rPr>
          <w:rFonts w:ascii="Times New Roman" w:hAnsi="Times New Roman" w:cs="Times New Roman"/>
          <w:sz w:val="24"/>
          <w:szCs w:val="24"/>
        </w:rPr>
        <w:t xml:space="preserve">O mercado financeiro </w:t>
      </w:r>
      <w:r w:rsidR="00065023" w:rsidRPr="00332D83">
        <w:rPr>
          <w:rFonts w:ascii="Times New Roman" w:hAnsi="Times New Roman" w:cs="Times New Roman"/>
          <w:sz w:val="24"/>
          <w:szCs w:val="24"/>
        </w:rPr>
        <w:t>dos EUA</w:t>
      </w:r>
      <w:r w:rsidR="009156C8" w:rsidRPr="00332D83">
        <w:rPr>
          <w:rFonts w:ascii="Times New Roman" w:hAnsi="Times New Roman" w:cs="Times New Roman"/>
          <w:sz w:val="24"/>
          <w:szCs w:val="24"/>
        </w:rPr>
        <w:t xml:space="preserve"> é o mais líquido e profundo de todo o mundo. A </w:t>
      </w:r>
      <w:r w:rsidRPr="00332D83">
        <w:rPr>
          <w:rFonts w:ascii="Times New Roman" w:hAnsi="Times New Roman" w:cs="Times New Roman"/>
          <w:sz w:val="24"/>
          <w:szCs w:val="24"/>
        </w:rPr>
        <w:t>maior par</w:t>
      </w:r>
      <w:r w:rsidR="009F38A3" w:rsidRPr="00332D83">
        <w:rPr>
          <w:rFonts w:ascii="Times New Roman" w:hAnsi="Times New Roman" w:cs="Times New Roman"/>
          <w:sz w:val="24"/>
          <w:szCs w:val="24"/>
        </w:rPr>
        <w:t>te das reservas internacionais -</w:t>
      </w:r>
      <w:r w:rsidRPr="00332D83">
        <w:rPr>
          <w:rFonts w:ascii="Times New Roman" w:hAnsi="Times New Roman" w:cs="Times New Roman"/>
          <w:sz w:val="24"/>
          <w:szCs w:val="24"/>
        </w:rPr>
        <w:t xml:space="preserve"> 64% </w:t>
      </w:r>
      <w:r w:rsidR="009F38A3" w:rsidRPr="00332D83">
        <w:rPr>
          <w:rFonts w:ascii="Times New Roman" w:hAnsi="Times New Roman" w:cs="Times New Roman"/>
          <w:sz w:val="24"/>
          <w:szCs w:val="24"/>
        </w:rPr>
        <w:t>-</w:t>
      </w:r>
      <w:r w:rsidR="003E26D9" w:rsidRPr="00332D83">
        <w:rPr>
          <w:rFonts w:ascii="Times New Roman" w:hAnsi="Times New Roman" w:cs="Times New Roman"/>
          <w:sz w:val="24"/>
          <w:szCs w:val="24"/>
        </w:rPr>
        <w:t>é</w:t>
      </w:r>
      <w:r w:rsidRPr="00332D83">
        <w:rPr>
          <w:rFonts w:ascii="Times New Roman" w:hAnsi="Times New Roman" w:cs="Times New Roman"/>
          <w:sz w:val="24"/>
          <w:szCs w:val="24"/>
        </w:rPr>
        <w:t xml:space="preserve"> denominada </w:t>
      </w:r>
      <w:r w:rsidR="00065023" w:rsidRPr="00332D83">
        <w:rPr>
          <w:rFonts w:ascii="Times New Roman" w:hAnsi="Times New Roman" w:cs="Times New Roman"/>
          <w:sz w:val="24"/>
          <w:szCs w:val="24"/>
        </w:rPr>
        <w:t>em dólar</w:t>
      </w:r>
      <w:r w:rsidRPr="00332D83">
        <w:rPr>
          <w:rFonts w:ascii="Times New Roman" w:hAnsi="Times New Roman" w:cs="Times New Roman"/>
          <w:sz w:val="24"/>
          <w:szCs w:val="24"/>
        </w:rPr>
        <w:t xml:space="preserve"> (FMI,</w:t>
      </w:r>
      <w:r w:rsidR="008431D6" w:rsidRPr="00332D83">
        <w:rPr>
          <w:rFonts w:ascii="Times New Roman" w:hAnsi="Times New Roman" w:cs="Times New Roman"/>
          <w:sz w:val="24"/>
          <w:szCs w:val="24"/>
        </w:rPr>
        <w:t xml:space="preserve"> </w:t>
      </w:r>
      <w:r w:rsidRPr="00332D83">
        <w:rPr>
          <w:rFonts w:ascii="Times New Roman" w:hAnsi="Times New Roman" w:cs="Times New Roman"/>
          <w:sz w:val="24"/>
          <w:szCs w:val="24"/>
        </w:rPr>
        <w:t xml:space="preserve">2017). </w:t>
      </w:r>
      <w:r w:rsidR="003E26D9" w:rsidRPr="00332D83">
        <w:rPr>
          <w:rFonts w:ascii="Times New Roman" w:hAnsi="Times New Roman" w:cs="Times New Roman"/>
          <w:sz w:val="24"/>
          <w:szCs w:val="24"/>
        </w:rPr>
        <w:t>T</w:t>
      </w:r>
      <w:r w:rsidRPr="00332D83">
        <w:rPr>
          <w:rFonts w:ascii="Times New Roman" w:hAnsi="Times New Roman" w:cs="Times New Roman"/>
          <w:sz w:val="24"/>
          <w:szCs w:val="24"/>
        </w:rPr>
        <w:t xml:space="preserve">odos </w:t>
      </w:r>
      <w:r w:rsidR="003E26D9" w:rsidRPr="00332D83">
        <w:rPr>
          <w:rFonts w:ascii="Times New Roman" w:hAnsi="Times New Roman" w:cs="Times New Roman"/>
          <w:sz w:val="24"/>
          <w:szCs w:val="24"/>
        </w:rPr>
        <w:t xml:space="preserve">esses </w:t>
      </w:r>
      <w:r w:rsidRPr="00332D83">
        <w:rPr>
          <w:rFonts w:ascii="Times New Roman" w:hAnsi="Times New Roman" w:cs="Times New Roman"/>
          <w:sz w:val="24"/>
          <w:szCs w:val="24"/>
        </w:rPr>
        <w:t xml:space="preserve">indicadores apontam para uma </w:t>
      </w:r>
      <w:r w:rsidR="00065023" w:rsidRPr="00332D83">
        <w:rPr>
          <w:rFonts w:ascii="Times New Roman" w:hAnsi="Times New Roman" w:cs="Times New Roman"/>
          <w:sz w:val="24"/>
          <w:szCs w:val="24"/>
        </w:rPr>
        <w:t xml:space="preserve">indiscutível </w:t>
      </w:r>
      <w:r w:rsidRPr="00332D83">
        <w:rPr>
          <w:rFonts w:ascii="Times New Roman" w:hAnsi="Times New Roman" w:cs="Times New Roman"/>
          <w:sz w:val="24"/>
          <w:szCs w:val="24"/>
        </w:rPr>
        <w:t xml:space="preserve">supremacia do dólar no conjunto das moedas </w:t>
      </w:r>
      <w:r w:rsidR="003E26D9" w:rsidRPr="00332D83">
        <w:rPr>
          <w:rFonts w:ascii="Times New Roman" w:hAnsi="Times New Roman" w:cs="Times New Roman"/>
          <w:sz w:val="24"/>
          <w:szCs w:val="24"/>
        </w:rPr>
        <w:t>utilizadas globalmente.</w:t>
      </w:r>
    </w:p>
    <w:p w:rsidR="00B6297F" w:rsidRDefault="00B6297F" w:rsidP="00276F21">
      <w:pPr>
        <w:spacing w:line="240" w:lineRule="auto"/>
        <w:jc w:val="both"/>
        <w:rPr>
          <w:rFonts w:ascii="Times New Roman" w:hAnsi="Times New Roman" w:cs="Times New Roman"/>
          <w:sz w:val="24"/>
          <w:szCs w:val="24"/>
        </w:rPr>
      </w:pPr>
      <w:r>
        <w:rPr>
          <w:rFonts w:ascii="Times New Roman" w:hAnsi="Times New Roman" w:cs="Times New Roman"/>
          <w:sz w:val="24"/>
          <w:szCs w:val="24"/>
        </w:rPr>
        <w:t>De acordo com</w:t>
      </w:r>
      <w:r w:rsidR="008E07C9" w:rsidRPr="00332D83">
        <w:rPr>
          <w:rFonts w:ascii="Times New Roman" w:hAnsi="Times New Roman" w:cs="Times New Roman"/>
          <w:sz w:val="24"/>
          <w:szCs w:val="24"/>
        </w:rPr>
        <w:t xml:space="preserve"> </w:t>
      </w:r>
      <w:r w:rsidR="00554AD1" w:rsidRPr="00332D83">
        <w:rPr>
          <w:rFonts w:ascii="Times New Roman" w:hAnsi="Times New Roman" w:cs="Times New Roman"/>
          <w:sz w:val="24"/>
          <w:szCs w:val="24"/>
        </w:rPr>
        <w:t>a visão funcionalis</w:t>
      </w:r>
      <w:r w:rsidR="0033387F" w:rsidRPr="00332D83">
        <w:rPr>
          <w:rFonts w:ascii="Times New Roman" w:hAnsi="Times New Roman" w:cs="Times New Roman"/>
          <w:sz w:val="24"/>
          <w:szCs w:val="24"/>
        </w:rPr>
        <w:t>ta,</w:t>
      </w:r>
      <w:r>
        <w:rPr>
          <w:rFonts w:ascii="Times New Roman" w:hAnsi="Times New Roman" w:cs="Times New Roman"/>
          <w:sz w:val="24"/>
          <w:szCs w:val="24"/>
        </w:rPr>
        <w:t xml:space="preserve"> </w:t>
      </w:r>
      <w:r w:rsidR="00554AD1" w:rsidRPr="00332D83">
        <w:rPr>
          <w:rFonts w:ascii="Times New Roman" w:hAnsi="Times New Roman" w:cs="Times New Roman"/>
          <w:sz w:val="24"/>
          <w:szCs w:val="24"/>
        </w:rPr>
        <w:t xml:space="preserve">uma moeda nacional se torna internacional na medida em que passa a desempenhar no exterior as funções clássicas da moeda, como unidade de conta, reserva de valor e meio de troca, tanto para agentes públicos quanto privados. </w:t>
      </w:r>
      <w:r w:rsidR="003D455D" w:rsidRPr="00332D83">
        <w:rPr>
          <w:rFonts w:ascii="Times New Roman" w:hAnsi="Times New Roman" w:cs="Times New Roman"/>
          <w:sz w:val="24"/>
          <w:szCs w:val="24"/>
        </w:rPr>
        <w:t xml:space="preserve"> </w:t>
      </w:r>
      <w:r w:rsidR="00865257">
        <w:rPr>
          <w:rFonts w:ascii="Times New Roman" w:hAnsi="Times New Roman" w:cs="Times New Roman"/>
          <w:sz w:val="24"/>
          <w:szCs w:val="24"/>
        </w:rPr>
        <w:t>(</w:t>
      </w:r>
      <w:r w:rsidR="00865257" w:rsidRPr="00332D83">
        <w:rPr>
          <w:rFonts w:ascii="Times New Roman" w:hAnsi="Times New Roman" w:cs="Times New Roman"/>
          <w:sz w:val="24"/>
          <w:szCs w:val="24"/>
        </w:rPr>
        <w:t xml:space="preserve">CONTI, B. </w:t>
      </w:r>
      <w:r w:rsidR="00865257">
        <w:rPr>
          <w:rFonts w:ascii="Times New Roman" w:hAnsi="Times New Roman" w:cs="Times New Roman"/>
          <w:sz w:val="24"/>
          <w:szCs w:val="24"/>
        </w:rPr>
        <w:t xml:space="preserve">et al. </w:t>
      </w:r>
      <w:r w:rsidR="00865257" w:rsidRPr="00332D83">
        <w:rPr>
          <w:rFonts w:ascii="Times New Roman" w:hAnsi="Times New Roman" w:cs="Times New Roman"/>
          <w:sz w:val="24"/>
          <w:szCs w:val="24"/>
        </w:rPr>
        <w:t>2013)</w:t>
      </w:r>
      <w:r>
        <w:rPr>
          <w:rFonts w:ascii="Times New Roman" w:hAnsi="Times New Roman" w:cs="Times New Roman"/>
          <w:sz w:val="24"/>
          <w:szCs w:val="24"/>
        </w:rPr>
        <w:t xml:space="preserve">. </w:t>
      </w:r>
      <w:r w:rsidR="00554AD1" w:rsidRPr="00332D83">
        <w:rPr>
          <w:rFonts w:ascii="Times New Roman" w:hAnsi="Times New Roman" w:cs="Times New Roman"/>
          <w:sz w:val="24"/>
          <w:szCs w:val="24"/>
        </w:rPr>
        <w:t>Essa segregação é importante por que instituições</w:t>
      </w:r>
      <w:r w:rsidR="009F38A3" w:rsidRPr="00332D83">
        <w:rPr>
          <w:rFonts w:ascii="Times New Roman" w:hAnsi="Times New Roman" w:cs="Times New Roman"/>
          <w:sz w:val="24"/>
          <w:szCs w:val="24"/>
        </w:rPr>
        <w:t xml:space="preserve"> públicas </w:t>
      </w:r>
      <w:r w:rsidR="003D455D" w:rsidRPr="00332D83">
        <w:rPr>
          <w:rFonts w:ascii="Times New Roman" w:hAnsi="Times New Roman" w:cs="Times New Roman"/>
          <w:sz w:val="24"/>
          <w:szCs w:val="24"/>
        </w:rPr>
        <w:t xml:space="preserve">e empresas </w:t>
      </w:r>
      <w:r w:rsidR="00554AD1" w:rsidRPr="00332D83">
        <w:rPr>
          <w:rFonts w:ascii="Times New Roman" w:hAnsi="Times New Roman" w:cs="Times New Roman"/>
          <w:sz w:val="24"/>
          <w:szCs w:val="24"/>
        </w:rPr>
        <w:t xml:space="preserve">têm </w:t>
      </w:r>
      <w:r w:rsidR="003D455D" w:rsidRPr="00332D83">
        <w:rPr>
          <w:rFonts w:ascii="Times New Roman" w:hAnsi="Times New Roman" w:cs="Times New Roman"/>
          <w:sz w:val="24"/>
          <w:szCs w:val="24"/>
        </w:rPr>
        <w:t>demandas diferentes</w:t>
      </w:r>
      <w:r w:rsidR="008A6C99" w:rsidRPr="00332D83">
        <w:rPr>
          <w:rFonts w:ascii="Times New Roman" w:hAnsi="Times New Roman" w:cs="Times New Roman"/>
          <w:sz w:val="24"/>
          <w:szCs w:val="24"/>
        </w:rPr>
        <w:t xml:space="preserve"> nas suas transações internacionais</w:t>
      </w:r>
      <w:r w:rsidR="009F38A3" w:rsidRPr="00332D83">
        <w:rPr>
          <w:rFonts w:ascii="Times New Roman" w:hAnsi="Times New Roman" w:cs="Times New Roman"/>
          <w:sz w:val="24"/>
          <w:szCs w:val="24"/>
        </w:rPr>
        <w:t xml:space="preserve">. </w:t>
      </w:r>
      <w:r w:rsidR="003D455D" w:rsidRPr="00332D83">
        <w:rPr>
          <w:rFonts w:ascii="Times New Roman" w:hAnsi="Times New Roman" w:cs="Times New Roman"/>
          <w:sz w:val="24"/>
          <w:szCs w:val="24"/>
        </w:rPr>
        <w:t>Desse ponto de vista, a</w:t>
      </w:r>
      <w:r w:rsidR="000D5DDF" w:rsidRPr="00332D83">
        <w:rPr>
          <w:rFonts w:ascii="Times New Roman" w:hAnsi="Times New Roman" w:cs="Times New Roman"/>
          <w:sz w:val="24"/>
          <w:szCs w:val="24"/>
        </w:rPr>
        <w:t xml:space="preserve">s funções da moeda </w:t>
      </w:r>
      <w:r w:rsidR="008A6C99" w:rsidRPr="00332D83">
        <w:rPr>
          <w:rFonts w:ascii="Times New Roman" w:hAnsi="Times New Roman" w:cs="Times New Roman"/>
          <w:sz w:val="24"/>
          <w:szCs w:val="24"/>
        </w:rPr>
        <w:t>são, do ponto de vista privado</w:t>
      </w:r>
      <w:r>
        <w:rPr>
          <w:rFonts w:ascii="Times New Roman" w:hAnsi="Times New Roman" w:cs="Times New Roman"/>
          <w:sz w:val="24"/>
          <w:szCs w:val="24"/>
        </w:rPr>
        <w:t>:</w:t>
      </w:r>
      <w:r w:rsidR="008A6C99" w:rsidRPr="00332D83">
        <w:rPr>
          <w:rFonts w:ascii="Times New Roman" w:hAnsi="Times New Roman" w:cs="Times New Roman"/>
          <w:sz w:val="24"/>
          <w:szCs w:val="24"/>
        </w:rPr>
        <w:t xml:space="preserve"> as de </w:t>
      </w:r>
      <w:r w:rsidR="000D5DDF" w:rsidRPr="00332D83">
        <w:rPr>
          <w:rFonts w:ascii="Times New Roman" w:hAnsi="Times New Roman" w:cs="Times New Roman"/>
          <w:sz w:val="24"/>
          <w:szCs w:val="24"/>
        </w:rPr>
        <w:t>meio de</w:t>
      </w:r>
      <w:r w:rsidR="003D455D" w:rsidRPr="00332D83">
        <w:rPr>
          <w:rFonts w:ascii="Times New Roman" w:hAnsi="Times New Roman" w:cs="Times New Roman"/>
          <w:sz w:val="24"/>
          <w:szCs w:val="24"/>
        </w:rPr>
        <w:t xml:space="preserve"> </w:t>
      </w:r>
      <w:r w:rsidR="000D5DDF" w:rsidRPr="00332D83">
        <w:rPr>
          <w:rFonts w:ascii="Times New Roman" w:hAnsi="Times New Roman" w:cs="Times New Roman"/>
          <w:sz w:val="24"/>
          <w:szCs w:val="24"/>
        </w:rPr>
        <w:t>pagamento/moeda veicular; moeda de denominação</w:t>
      </w:r>
      <w:r w:rsidR="008A6C99" w:rsidRPr="00332D83">
        <w:rPr>
          <w:rFonts w:ascii="Times New Roman" w:hAnsi="Times New Roman" w:cs="Times New Roman"/>
          <w:sz w:val="24"/>
          <w:szCs w:val="24"/>
        </w:rPr>
        <w:t xml:space="preserve">; e </w:t>
      </w:r>
      <w:r w:rsidR="000D5DDF" w:rsidRPr="00332D83">
        <w:rPr>
          <w:rFonts w:ascii="Times New Roman" w:hAnsi="Times New Roman" w:cs="Times New Roman"/>
          <w:sz w:val="24"/>
          <w:szCs w:val="24"/>
        </w:rPr>
        <w:t>moeda de investimento e f</w:t>
      </w:r>
      <w:r w:rsidR="003D455D" w:rsidRPr="00332D83">
        <w:rPr>
          <w:rFonts w:ascii="Times New Roman" w:hAnsi="Times New Roman" w:cs="Times New Roman"/>
          <w:sz w:val="24"/>
          <w:szCs w:val="24"/>
        </w:rPr>
        <w:t>i</w:t>
      </w:r>
      <w:r w:rsidR="000D5DDF" w:rsidRPr="00332D83">
        <w:rPr>
          <w:rFonts w:ascii="Times New Roman" w:hAnsi="Times New Roman" w:cs="Times New Roman"/>
          <w:sz w:val="24"/>
          <w:szCs w:val="24"/>
        </w:rPr>
        <w:t>nanciamento</w:t>
      </w:r>
      <w:r w:rsidR="008A6C99" w:rsidRPr="00332D83">
        <w:rPr>
          <w:rFonts w:ascii="Times New Roman" w:hAnsi="Times New Roman" w:cs="Times New Roman"/>
          <w:sz w:val="24"/>
          <w:szCs w:val="24"/>
        </w:rPr>
        <w:t xml:space="preserve">. </w:t>
      </w:r>
      <w:r w:rsidR="009F38A3" w:rsidRPr="00332D83">
        <w:rPr>
          <w:rFonts w:ascii="Times New Roman" w:hAnsi="Times New Roman" w:cs="Times New Roman"/>
          <w:sz w:val="24"/>
          <w:szCs w:val="24"/>
        </w:rPr>
        <w:t>Bancos centrais e tesouros nacionais</w:t>
      </w:r>
      <w:r w:rsidR="008A6C99" w:rsidRPr="00332D83">
        <w:rPr>
          <w:rFonts w:ascii="Times New Roman" w:hAnsi="Times New Roman" w:cs="Times New Roman"/>
          <w:sz w:val="24"/>
          <w:szCs w:val="24"/>
        </w:rPr>
        <w:t>, por sua vez,</w:t>
      </w:r>
      <w:r w:rsidR="009F38A3" w:rsidRPr="00332D83">
        <w:rPr>
          <w:rFonts w:ascii="Times New Roman" w:hAnsi="Times New Roman" w:cs="Times New Roman"/>
          <w:sz w:val="24"/>
          <w:szCs w:val="24"/>
        </w:rPr>
        <w:t xml:space="preserve"> precisam</w:t>
      </w:r>
      <w:r w:rsidR="008A6C99" w:rsidRPr="00332D83">
        <w:rPr>
          <w:rFonts w:ascii="Times New Roman" w:hAnsi="Times New Roman" w:cs="Times New Roman"/>
          <w:sz w:val="24"/>
          <w:szCs w:val="24"/>
        </w:rPr>
        <w:t>, além disso,</w:t>
      </w:r>
      <w:r w:rsidR="009F38A3" w:rsidRPr="00332D83">
        <w:rPr>
          <w:rFonts w:ascii="Times New Roman" w:hAnsi="Times New Roman" w:cs="Times New Roman"/>
          <w:sz w:val="24"/>
          <w:szCs w:val="24"/>
        </w:rPr>
        <w:t xml:space="preserve"> escolher uma </w:t>
      </w:r>
      <w:r w:rsidR="000D5DDF" w:rsidRPr="00332D83">
        <w:rPr>
          <w:rFonts w:ascii="Times New Roman" w:hAnsi="Times New Roman" w:cs="Times New Roman"/>
          <w:sz w:val="24"/>
          <w:szCs w:val="24"/>
        </w:rPr>
        <w:t xml:space="preserve">das </w:t>
      </w:r>
      <w:r w:rsidR="009F38A3" w:rsidRPr="00332D83">
        <w:rPr>
          <w:rFonts w:ascii="Times New Roman" w:hAnsi="Times New Roman" w:cs="Times New Roman"/>
          <w:sz w:val="24"/>
          <w:szCs w:val="24"/>
        </w:rPr>
        <w:t>moeda</w:t>
      </w:r>
      <w:r w:rsidR="000D5DDF" w:rsidRPr="00332D83">
        <w:rPr>
          <w:rFonts w:ascii="Times New Roman" w:hAnsi="Times New Roman" w:cs="Times New Roman"/>
          <w:sz w:val="24"/>
          <w:szCs w:val="24"/>
        </w:rPr>
        <w:t>s</w:t>
      </w:r>
      <w:r w:rsidR="009F38A3" w:rsidRPr="00332D83">
        <w:rPr>
          <w:rFonts w:ascii="Times New Roman" w:hAnsi="Times New Roman" w:cs="Times New Roman"/>
          <w:sz w:val="24"/>
          <w:szCs w:val="24"/>
        </w:rPr>
        <w:t xml:space="preserve"> internacionais como </w:t>
      </w:r>
      <w:r w:rsidR="00554AD1" w:rsidRPr="00332D83">
        <w:rPr>
          <w:rFonts w:ascii="Times New Roman" w:hAnsi="Times New Roman" w:cs="Times New Roman"/>
          <w:sz w:val="24"/>
          <w:szCs w:val="24"/>
        </w:rPr>
        <w:t>referência</w:t>
      </w:r>
      <w:r w:rsidR="009F38A3" w:rsidRPr="00332D83">
        <w:rPr>
          <w:rFonts w:ascii="Times New Roman" w:hAnsi="Times New Roman" w:cs="Times New Roman"/>
          <w:sz w:val="24"/>
          <w:szCs w:val="24"/>
        </w:rPr>
        <w:t xml:space="preserve"> para sua taxa de câmbio, para suas operações de</w:t>
      </w:r>
      <w:r w:rsidR="00554AD1" w:rsidRPr="00332D83">
        <w:rPr>
          <w:rFonts w:ascii="Times New Roman" w:hAnsi="Times New Roman" w:cs="Times New Roman"/>
          <w:sz w:val="24"/>
          <w:szCs w:val="24"/>
        </w:rPr>
        <w:t xml:space="preserve"> intervenção no mercado e para a denominação d</w:t>
      </w:r>
      <w:r w:rsidR="009F38A3" w:rsidRPr="00332D83">
        <w:rPr>
          <w:rFonts w:ascii="Times New Roman" w:hAnsi="Times New Roman" w:cs="Times New Roman"/>
          <w:sz w:val="24"/>
          <w:szCs w:val="24"/>
        </w:rPr>
        <w:t>e suas</w:t>
      </w:r>
      <w:r w:rsidR="008A6C99" w:rsidRPr="00332D83">
        <w:rPr>
          <w:rFonts w:ascii="Times New Roman" w:hAnsi="Times New Roman" w:cs="Times New Roman"/>
          <w:sz w:val="24"/>
          <w:szCs w:val="24"/>
        </w:rPr>
        <w:t xml:space="preserve"> reservas internacionais</w:t>
      </w:r>
      <w:r w:rsidR="00554AD1" w:rsidRPr="00332D83">
        <w:rPr>
          <w:rFonts w:ascii="Times New Roman" w:hAnsi="Times New Roman" w:cs="Times New Roman"/>
          <w:sz w:val="24"/>
          <w:szCs w:val="24"/>
        </w:rPr>
        <w:t xml:space="preserve">. </w:t>
      </w:r>
    </w:p>
    <w:p w:rsidR="00554AD1" w:rsidRPr="00332D83" w:rsidRDefault="00554AD1"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Ainda que </w:t>
      </w:r>
      <w:r w:rsidR="009F38A3" w:rsidRPr="00332D83">
        <w:rPr>
          <w:rFonts w:ascii="Times New Roman" w:hAnsi="Times New Roman" w:cs="Times New Roman"/>
          <w:sz w:val="24"/>
          <w:szCs w:val="24"/>
        </w:rPr>
        <w:t>muitas</w:t>
      </w:r>
      <w:r w:rsidRPr="00332D83">
        <w:rPr>
          <w:rFonts w:ascii="Times New Roman" w:hAnsi="Times New Roman" w:cs="Times New Roman"/>
          <w:sz w:val="24"/>
          <w:szCs w:val="24"/>
        </w:rPr>
        <w:t xml:space="preserve"> moedas possam ser</w:t>
      </w:r>
      <w:r w:rsidR="009F38A3" w:rsidRPr="00332D83">
        <w:rPr>
          <w:rFonts w:ascii="Times New Roman" w:hAnsi="Times New Roman" w:cs="Times New Roman"/>
          <w:sz w:val="24"/>
          <w:szCs w:val="24"/>
        </w:rPr>
        <w:t xml:space="preserve"> consideradas</w:t>
      </w:r>
      <w:r w:rsidRPr="00332D83">
        <w:rPr>
          <w:rFonts w:ascii="Times New Roman" w:hAnsi="Times New Roman" w:cs="Times New Roman"/>
          <w:sz w:val="24"/>
          <w:szCs w:val="24"/>
        </w:rPr>
        <w:t xml:space="preserve"> internacionais, existe uma hierarquia entre </w:t>
      </w:r>
      <w:r w:rsidR="000D5DDF" w:rsidRPr="00332D83">
        <w:rPr>
          <w:rFonts w:ascii="Times New Roman" w:hAnsi="Times New Roman" w:cs="Times New Roman"/>
          <w:sz w:val="24"/>
          <w:szCs w:val="24"/>
        </w:rPr>
        <w:t xml:space="preserve">elas. Apenas umas poucas - entre as quais se destacam o dólar, o euro, a libra e o iene - podem ser consideradas “plenas”, pelo fato de atenderem </w:t>
      </w:r>
      <w:r w:rsidR="008A6C99" w:rsidRPr="00332D83">
        <w:rPr>
          <w:rFonts w:ascii="Times New Roman" w:hAnsi="Times New Roman" w:cs="Times New Roman"/>
          <w:sz w:val="24"/>
          <w:szCs w:val="24"/>
        </w:rPr>
        <w:t>e a todas as funções. As</w:t>
      </w:r>
      <w:r w:rsidR="000D5DDF" w:rsidRPr="00332D83">
        <w:rPr>
          <w:rFonts w:ascii="Times New Roman" w:hAnsi="Times New Roman" w:cs="Times New Roman"/>
          <w:sz w:val="24"/>
          <w:szCs w:val="24"/>
        </w:rPr>
        <w:t xml:space="preserve"> demais </w:t>
      </w:r>
      <w:r w:rsidR="008A6C99" w:rsidRPr="00332D83">
        <w:rPr>
          <w:rFonts w:ascii="Times New Roman" w:hAnsi="Times New Roman" w:cs="Times New Roman"/>
          <w:sz w:val="24"/>
          <w:szCs w:val="24"/>
        </w:rPr>
        <w:t>são consideradas</w:t>
      </w:r>
      <w:r w:rsidR="000D5DDF" w:rsidRPr="00332D83">
        <w:rPr>
          <w:rFonts w:ascii="Times New Roman" w:hAnsi="Times New Roman" w:cs="Times New Roman"/>
          <w:sz w:val="24"/>
          <w:szCs w:val="24"/>
        </w:rPr>
        <w:t xml:space="preserve"> </w:t>
      </w:r>
      <w:r w:rsidRPr="00332D83">
        <w:rPr>
          <w:rFonts w:ascii="Times New Roman" w:hAnsi="Times New Roman" w:cs="Times New Roman"/>
          <w:sz w:val="24"/>
          <w:szCs w:val="24"/>
        </w:rPr>
        <w:t xml:space="preserve">“parciais”, </w:t>
      </w:r>
      <w:r w:rsidR="008A6C99" w:rsidRPr="00332D83">
        <w:rPr>
          <w:rFonts w:ascii="Times New Roman" w:hAnsi="Times New Roman" w:cs="Times New Roman"/>
          <w:sz w:val="24"/>
          <w:szCs w:val="24"/>
        </w:rPr>
        <w:t>pelo fato de</w:t>
      </w:r>
      <w:r w:rsidRPr="00332D83">
        <w:rPr>
          <w:rFonts w:ascii="Times New Roman" w:hAnsi="Times New Roman" w:cs="Times New Roman"/>
          <w:sz w:val="24"/>
          <w:szCs w:val="24"/>
        </w:rPr>
        <w:t xml:space="preserve"> desempenha</w:t>
      </w:r>
      <w:r w:rsidR="008A6C99" w:rsidRPr="00332D83">
        <w:rPr>
          <w:rFonts w:ascii="Times New Roman" w:hAnsi="Times New Roman" w:cs="Times New Roman"/>
          <w:sz w:val="24"/>
          <w:szCs w:val="24"/>
        </w:rPr>
        <w:t>re</w:t>
      </w:r>
      <w:r w:rsidRPr="00332D83">
        <w:rPr>
          <w:rFonts w:ascii="Times New Roman" w:hAnsi="Times New Roman" w:cs="Times New Roman"/>
          <w:sz w:val="24"/>
          <w:szCs w:val="24"/>
        </w:rPr>
        <w:t xml:space="preserve">m apenas algumas funções (CHEY, 2013; COHEN, 2011). </w:t>
      </w:r>
    </w:p>
    <w:p w:rsidR="006022EE" w:rsidRPr="00332D83" w:rsidRDefault="008A6C99"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lastRenderedPageBreak/>
        <w:t>Se a</w:t>
      </w:r>
      <w:r w:rsidR="00941B43" w:rsidRPr="00332D83">
        <w:rPr>
          <w:rFonts w:ascii="Times New Roman" w:hAnsi="Times New Roman" w:cs="Times New Roman"/>
          <w:sz w:val="24"/>
          <w:szCs w:val="24"/>
        </w:rPr>
        <w:t xml:space="preserve"> perspectiva funcionalista permite identificar uma </w:t>
      </w:r>
      <w:r w:rsidR="006022EE" w:rsidRPr="00332D83">
        <w:rPr>
          <w:rFonts w:ascii="Times New Roman" w:hAnsi="Times New Roman" w:cs="Times New Roman"/>
          <w:sz w:val="24"/>
          <w:szCs w:val="24"/>
        </w:rPr>
        <w:t xml:space="preserve">clara </w:t>
      </w:r>
      <w:r w:rsidR="00941B43" w:rsidRPr="00332D83">
        <w:rPr>
          <w:rFonts w:ascii="Times New Roman" w:hAnsi="Times New Roman" w:cs="Times New Roman"/>
          <w:sz w:val="24"/>
          <w:szCs w:val="24"/>
        </w:rPr>
        <w:t>hiera</w:t>
      </w:r>
      <w:r w:rsidR="003A2702" w:rsidRPr="00332D83">
        <w:rPr>
          <w:rFonts w:ascii="Times New Roman" w:hAnsi="Times New Roman" w:cs="Times New Roman"/>
          <w:sz w:val="24"/>
          <w:szCs w:val="24"/>
        </w:rPr>
        <w:t>r</w:t>
      </w:r>
      <w:r w:rsidR="00941B43" w:rsidRPr="00332D83">
        <w:rPr>
          <w:rFonts w:ascii="Times New Roman" w:hAnsi="Times New Roman" w:cs="Times New Roman"/>
          <w:sz w:val="24"/>
          <w:szCs w:val="24"/>
        </w:rPr>
        <w:t>quia entre as moedas internacionais</w:t>
      </w:r>
      <w:r w:rsidRPr="00332D83">
        <w:rPr>
          <w:rFonts w:ascii="Times New Roman" w:hAnsi="Times New Roman" w:cs="Times New Roman"/>
          <w:sz w:val="24"/>
          <w:szCs w:val="24"/>
        </w:rPr>
        <w:t>, d</w:t>
      </w:r>
      <w:r w:rsidR="00941B43" w:rsidRPr="00332D83">
        <w:rPr>
          <w:rFonts w:ascii="Times New Roman" w:hAnsi="Times New Roman" w:cs="Times New Roman"/>
          <w:sz w:val="24"/>
          <w:szCs w:val="24"/>
        </w:rPr>
        <w:t>eixa</w:t>
      </w:r>
      <w:r w:rsidRPr="00332D83">
        <w:rPr>
          <w:rFonts w:ascii="Times New Roman" w:hAnsi="Times New Roman" w:cs="Times New Roman"/>
          <w:sz w:val="24"/>
          <w:szCs w:val="24"/>
        </w:rPr>
        <w:t>, no entanto,</w:t>
      </w:r>
      <w:r w:rsidR="00941B43" w:rsidRPr="00332D83">
        <w:rPr>
          <w:rFonts w:ascii="Times New Roman" w:hAnsi="Times New Roman" w:cs="Times New Roman"/>
          <w:sz w:val="24"/>
          <w:szCs w:val="24"/>
        </w:rPr>
        <w:t xml:space="preserve"> de lado questões políticas</w:t>
      </w:r>
      <w:r w:rsidRPr="00332D83">
        <w:rPr>
          <w:rFonts w:ascii="Times New Roman" w:hAnsi="Times New Roman" w:cs="Times New Roman"/>
          <w:sz w:val="24"/>
          <w:szCs w:val="24"/>
        </w:rPr>
        <w:t xml:space="preserve"> relevantes,</w:t>
      </w:r>
      <w:r w:rsidR="00941B43" w:rsidRPr="00332D83">
        <w:rPr>
          <w:rFonts w:ascii="Times New Roman" w:hAnsi="Times New Roman" w:cs="Times New Roman"/>
          <w:sz w:val="24"/>
          <w:szCs w:val="24"/>
        </w:rPr>
        <w:t xml:space="preserve"> </w:t>
      </w:r>
      <w:r w:rsidRPr="00332D83">
        <w:rPr>
          <w:rFonts w:ascii="Times New Roman" w:hAnsi="Times New Roman" w:cs="Times New Roman"/>
          <w:sz w:val="24"/>
          <w:szCs w:val="24"/>
        </w:rPr>
        <w:t>que envolvem o relacionamento político</w:t>
      </w:r>
      <w:r w:rsidR="00941B43" w:rsidRPr="00332D83">
        <w:rPr>
          <w:rFonts w:ascii="Times New Roman" w:hAnsi="Times New Roman" w:cs="Times New Roman"/>
          <w:sz w:val="24"/>
          <w:szCs w:val="24"/>
        </w:rPr>
        <w:t xml:space="preserve"> entre os países emissores das moedas internacionais e os que as utilizam.</w:t>
      </w:r>
      <w:r w:rsidR="003A2702" w:rsidRPr="00332D83">
        <w:rPr>
          <w:rFonts w:ascii="Times New Roman" w:hAnsi="Times New Roman" w:cs="Times New Roman"/>
          <w:sz w:val="24"/>
          <w:szCs w:val="24"/>
        </w:rPr>
        <w:t xml:space="preserve"> </w:t>
      </w:r>
      <w:r w:rsidRPr="00332D83">
        <w:rPr>
          <w:rFonts w:ascii="Times New Roman" w:hAnsi="Times New Roman" w:cs="Times New Roman"/>
          <w:sz w:val="24"/>
          <w:szCs w:val="24"/>
        </w:rPr>
        <w:t>As</w:t>
      </w:r>
      <w:r w:rsidR="0033387F" w:rsidRPr="00332D83">
        <w:rPr>
          <w:rFonts w:ascii="Times New Roman" w:hAnsi="Times New Roman" w:cs="Times New Roman"/>
          <w:sz w:val="24"/>
          <w:szCs w:val="24"/>
        </w:rPr>
        <w:t xml:space="preserve"> moedas internacionais não são hierarquizadas apenas por que atendem em melhores condições às necessidades de seus </w:t>
      </w:r>
      <w:r w:rsidRPr="00332D83">
        <w:rPr>
          <w:rFonts w:ascii="Times New Roman" w:hAnsi="Times New Roman" w:cs="Times New Roman"/>
          <w:sz w:val="24"/>
          <w:szCs w:val="24"/>
        </w:rPr>
        <w:t>usuários</w:t>
      </w:r>
      <w:r w:rsidR="00B6297F">
        <w:rPr>
          <w:rFonts w:ascii="Times New Roman" w:hAnsi="Times New Roman" w:cs="Times New Roman"/>
          <w:sz w:val="24"/>
          <w:szCs w:val="24"/>
        </w:rPr>
        <w:t xml:space="preserve"> e de seus supridores</w:t>
      </w:r>
      <w:r w:rsidR="0033387F" w:rsidRPr="00332D83">
        <w:rPr>
          <w:rFonts w:ascii="Times New Roman" w:hAnsi="Times New Roman" w:cs="Times New Roman"/>
          <w:sz w:val="24"/>
          <w:szCs w:val="24"/>
        </w:rPr>
        <w:t>. Elas oferecem esse</w:t>
      </w:r>
      <w:r w:rsidR="004D2101" w:rsidRPr="00332D83">
        <w:rPr>
          <w:rFonts w:ascii="Times New Roman" w:hAnsi="Times New Roman" w:cs="Times New Roman"/>
          <w:sz w:val="24"/>
          <w:szCs w:val="24"/>
        </w:rPr>
        <w:t>s</w:t>
      </w:r>
      <w:r w:rsidR="0033387F" w:rsidRPr="00332D83">
        <w:rPr>
          <w:rFonts w:ascii="Times New Roman" w:hAnsi="Times New Roman" w:cs="Times New Roman"/>
          <w:sz w:val="24"/>
          <w:szCs w:val="24"/>
        </w:rPr>
        <w:t xml:space="preserve"> “serviços” desde o século XIX</w:t>
      </w:r>
      <w:r w:rsidR="006022EE" w:rsidRPr="00332D83">
        <w:rPr>
          <w:rFonts w:ascii="Times New Roman" w:hAnsi="Times New Roman" w:cs="Times New Roman"/>
          <w:sz w:val="24"/>
          <w:szCs w:val="24"/>
        </w:rPr>
        <w:t>,</w:t>
      </w:r>
      <w:r w:rsidR="0033387F" w:rsidRPr="00332D83">
        <w:rPr>
          <w:rFonts w:ascii="Times New Roman" w:hAnsi="Times New Roman" w:cs="Times New Roman"/>
          <w:sz w:val="24"/>
          <w:szCs w:val="24"/>
        </w:rPr>
        <w:t xml:space="preserve"> com</w:t>
      </w:r>
      <w:r w:rsidR="006022EE" w:rsidRPr="00332D83">
        <w:rPr>
          <w:rFonts w:ascii="Times New Roman" w:hAnsi="Times New Roman" w:cs="Times New Roman"/>
          <w:sz w:val="24"/>
          <w:szCs w:val="24"/>
        </w:rPr>
        <w:t>o</w:t>
      </w:r>
      <w:r w:rsidR="0033387F" w:rsidRPr="00332D83">
        <w:rPr>
          <w:rFonts w:ascii="Times New Roman" w:hAnsi="Times New Roman" w:cs="Times New Roman"/>
          <w:sz w:val="24"/>
          <w:szCs w:val="24"/>
        </w:rPr>
        <w:t xml:space="preserve"> parte de um sistema global ordenado segundo regras e convenções estabelecidas </w:t>
      </w:r>
      <w:proofErr w:type="spellStart"/>
      <w:r w:rsidR="0033387F" w:rsidRPr="00332D83">
        <w:rPr>
          <w:rFonts w:ascii="Times New Roman" w:hAnsi="Times New Roman" w:cs="Times New Roman"/>
          <w:i/>
          <w:sz w:val="24"/>
          <w:szCs w:val="24"/>
        </w:rPr>
        <w:t>ex-ante</w:t>
      </w:r>
      <w:proofErr w:type="spellEnd"/>
      <w:r w:rsidR="0033387F" w:rsidRPr="00332D83">
        <w:rPr>
          <w:rFonts w:ascii="Times New Roman" w:hAnsi="Times New Roman" w:cs="Times New Roman"/>
          <w:sz w:val="24"/>
          <w:szCs w:val="24"/>
        </w:rPr>
        <w:t xml:space="preserve"> e aceitas por todos. </w:t>
      </w:r>
    </w:p>
    <w:p w:rsidR="004D2101" w:rsidRPr="00332D83" w:rsidRDefault="0033387F"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Como tal, essas</w:t>
      </w:r>
      <w:r w:rsidR="004D2101" w:rsidRPr="00332D83">
        <w:rPr>
          <w:rFonts w:ascii="Times New Roman" w:hAnsi="Times New Roman" w:cs="Times New Roman"/>
          <w:sz w:val="24"/>
          <w:szCs w:val="24"/>
        </w:rPr>
        <w:t xml:space="preserve"> normas</w:t>
      </w:r>
      <w:r w:rsidRPr="00332D83">
        <w:rPr>
          <w:rFonts w:ascii="Times New Roman" w:hAnsi="Times New Roman" w:cs="Times New Roman"/>
          <w:sz w:val="24"/>
          <w:szCs w:val="24"/>
        </w:rPr>
        <w:t xml:space="preserve"> estão sujeitas a mudanças, às vezes radicais, que visam </w:t>
      </w:r>
      <w:r w:rsidR="004D2101" w:rsidRPr="00332D83">
        <w:rPr>
          <w:rFonts w:ascii="Times New Roman" w:hAnsi="Times New Roman" w:cs="Times New Roman"/>
          <w:sz w:val="24"/>
          <w:szCs w:val="24"/>
        </w:rPr>
        <w:t>permitir</w:t>
      </w:r>
      <w:r w:rsidRPr="00332D83">
        <w:rPr>
          <w:rFonts w:ascii="Times New Roman" w:hAnsi="Times New Roman" w:cs="Times New Roman"/>
          <w:sz w:val="24"/>
          <w:szCs w:val="24"/>
        </w:rPr>
        <w:t xml:space="preserve"> acomodação de interesses de atores de mercados e de </w:t>
      </w:r>
      <w:r w:rsidR="004D2101" w:rsidRPr="00332D83">
        <w:rPr>
          <w:rFonts w:ascii="Times New Roman" w:hAnsi="Times New Roman" w:cs="Times New Roman"/>
          <w:sz w:val="24"/>
          <w:szCs w:val="24"/>
        </w:rPr>
        <w:t>governos</w:t>
      </w:r>
      <w:r w:rsidRPr="00332D83">
        <w:rPr>
          <w:rFonts w:ascii="Times New Roman" w:hAnsi="Times New Roman" w:cs="Times New Roman"/>
          <w:sz w:val="24"/>
          <w:szCs w:val="24"/>
        </w:rPr>
        <w:t xml:space="preserve">, em particular </w:t>
      </w:r>
      <w:r w:rsidR="004D2101" w:rsidRPr="00332D83">
        <w:rPr>
          <w:rFonts w:ascii="Times New Roman" w:hAnsi="Times New Roman" w:cs="Times New Roman"/>
          <w:sz w:val="24"/>
          <w:szCs w:val="24"/>
        </w:rPr>
        <w:t xml:space="preserve">os </w:t>
      </w:r>
      <w:r w:rsidR="006022EE" w:rsidRPr="00332D83">
        <w:rPr>
          <w:rFonts w:ascii="Times New Roman" w:hAnsi="Times New Roman" w:cs="Times New Roman"/>
          <w:sz w:val="24"/>
          <w:szCs w:val="24"/>
        </w:rPr>
        <w:t>da nação</w:t>
      </w:r>
      <w:r w:rsidRPr="00332D83">
        <w:rPr>
          <w:rFonts w:ascii="Times New Roman" w:hAnsi="Times New Roman" w:cs="Times New Roman"/>
          <w:sz w:val="24"/>
          <w:szCs w:val="24"/>
        </w:rPr>
        <w:t xml:space="preserve"> emissor</w:t>
      </w:r>
      <w:r w:rsidR="006022EE" w:rsidRPr="00332D83">
        <w:rPr>
          <w:rFonts w:ascii="Times New Roman" w:hAnsi="Times New Roman" w:cs="Times New Roman"/>
          <w:sz w:val="24"/>
          <w:szCs w:val="24"/>
        </w:rPr>
        <w:t>a</w:t>
      </w:r>
      <w:r w:rsidRPr="00332D83">
        <w:rPr>
          <w:rFonts w:ascii="Times New Roman" w:hAnsi="Times New Roman" w:cs="Times New Roman"/>
          <w:sz w:val="24"/>
          <w:szCs w:val="24"/>
        </w:rPr>
        <w:t xml:space="preserve"> da moeda principal. Além disso, existem vantagens e obrigações para os países emissores conforme sua</w:t>
      </w:r>
      <w:r w:rsidR="004D2101" w:rsidRPr="00332D83">
        <w:rPr>
          <w:rFonts w:ascii="Times New Roman" w:hAnsi="Times New Roman" w:cs="Times New Roman"/>
          <w:sz w:val="24"/>
          <w:szCs w:val="24"/>
        </w:rPr>
        <w:t xml:space="preserve"> posição na</w:t>
      </w:r>
      <w:r w:rsidRPr="00332D83">
        <w:rPr>
          <w:rFonts w:ascii="Times New Roman" w:hAnsi="Times New Roman" w:cs="Times New Roman"/>
          <w:sz w:val="24"/>
          <w:szCs w:val="24"/>
        </w:rPr>
        <w:t xml:space="preserve"> hierarquia no sistema. </w:t>
      </w:r>
      <w:r w:rsidR="004D2101" w:rsidRPr="00332D83">
        <w:rPr>
          <w:rFonts w:ascii="Times New Roman" w:hAnsi="Times New Roman" w:cs="Times New Roman"/>
          <w:sz w:val="24"/>
          <w:szCs w:val="24"/>
        </w:rPr>
        <w:t>É a</w:t>
      </w:r>
      <w:r w:rsidRPr="00332D83">
        <w:rPr>
          <w:rFonts w:ascii="Times New Roman" w:hAnsi="Times New Roman" w:cs="Times New Roman"/>
          <w:sz w:val="24"/>
          <w:szCs w:val="24"/>
        </w:rPr>
        <w:t xml:space="preserve"> existência dessa assimetria de poder e </w:t>
      </w:r>
      <w:r w:rsidR="0062707E" w:rsidRPr="00332D83">
        <w:rPr>
          <w:rFonts w:ascii="Times New Roman" w:hAnsi="Times New Roman" w:cs="Times New Roman"/>
          <w:sz w:val="24"/>
          <w:szCs w:val="24"/>
        </w:rPr>
        <w:t>d</w:t>
      </w:r>
      <w:r w:rsidR="006022EE" w:rsidRPr="00332D83">
        <w:rPr>
          <w:rFonts w:ascii="Times New Roman" w:hAnsi="Times New Roman" w:cs="Times New Roman"/>
          <w:sz w:val="24"/>
          <w:szCs w:val="24"/>
        </w:rPr>
        <w:t>e</w:t>
      </w:r>
      <w:r w:rsidR="0062707E" w:rsidRPr="00332D83">
        <w:rPr>
          <w:rFonts w:ascii="Times New Roman" w:hAnsi="Times New Roman" w:cs="Times New Roman"/>
          <w:sz w:val="24"/>
          <w:szCs w:val="24"/>
        </w:rPr>
        <w:t xml:space="preserve"> </w:t>
      </w:r>
      <w:r w:rsidRPr="00332D83">
        <w:rPr>
          <w:rFonts w:ascii="Times New Roman" w:hAnsi="Times New Roman" w:cs="Times New Roman"/>
          <w:sz w:val="24"/>
          <w:szCs w:val="24"/>
        </w:rPr>
        <w:t xml:space="preserve">benefícios </w:t>
      </w:r>
      <w:r w:rsidR="004D2101" w:rsidRPr="00332D83">
        <w:rPr>
          <w:rFonts w:ascii="Times New Roman" w:hAnsi="Times New Roman" w:cs="Times New Roman"/>
          <w:sz w:val="24"/>
          <w:szCs w:val="24"/>
        </w:rPr>
        <w:t>o que dá origem</w:t>
      </w:r>
      <w:r w:rsidR="0062707E" w:rsidRPr="00332D83">
        <w:rPr>
          <w:rFonts w:ascii="Times New Roman" w:hAnsi="Times New Roman" w:cs="Times New Roman"/>
          <w:sz w:val="24"/>
          <w:szCs w:val="24"/>
        </w:rPr>
        <w:t xml:space="preserve"> às críticas de que, no atual sistema monetário internacional baseado no dólar, os Estados Unidos detêm um “privilégio exorbitante” (</w:t>
      </w:r>
      <w:r w:rsidR="00862EB5" w:rsidRPr="00332D83">
        <w:rPr>
          <w:rFonts w:ascii="Times New Roman" w:hAnsi="Times New Roman" w:cs="Times New Roman"/>
          <w:sz w:val="24"/>
          <w:szCs w:val="24"/>
        </w:rPr>
        <w:t>EICHENGREEN</w:t>
      </w:r>
      <w:r w:rsidR="0062707E" w:rsidRPr="00332D83">
        <w:rPr>
          <w:rFonts w:ascii="Times New Roman" w:hAnsi="Times New Roman" w:cs="Times New Roman"/>
          <w:sz w:val="24"/>
          <w:szCs w:val="24"/>
        </w:rPr>
        <w:t>,</w:t>
      </w:r>
      <w:r w:rsidR="006022EE" w:rsidRPr="00332D83">
        <w:rPr>
          <w:rFonts w:ascii="Times New Roman" w:hAnsi="Times New Roman" w:cs="Times New Roman"/>
          <w:sz w:val="24"/>
          <w:szCs w:val="24"/>
        </w:rPr>
        <w:t xml:space="preserve"> 2011)</w:t>
      </w:r>
      <w:r w:rsidR="004D2101" w:rsidRPr="00332D83">
        <w:rPr>
          <w:rFonts w:ascii="Times New Roman" w:hAnsi="Times New Roman" w:cs="Times New Roman"/>
          <w:sz w:val="24"/>
          <w:szCs w:val="24"/>
        </w:rPr>
        <w:t xml:space="preserve">. </w:t>
      </w:r>
    </w:p>
    <w:p w:rsidR="00360F11" w:rsidRPr="00332D83" w:rsidRDefault="00576CF1"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A</w:t>
      </w:r>
      <w:r w:rsidR="004D2101" w:rsidRPr="00332D83">
        <w:rPr>
          <w:rFonts w:ascii="Times New Roman" w:hAnsi="Times New Roman" w:cs="Times New Roman"/>
          <w:sz w:val="24"/>
          <w:szCs w:val="24"/>
        </w:rPr>
        <w:t xml:space="preserve"> temática central tratada </w:t>
      </w:r>
      <w:r w:rsidRPr="00332D83">
        <w:rPr>
          <w:rFonts w:ascii="Times New Roman" w:hAnsi="Times New Roman" w:cs="Times New Roman"/>
          <w:sz w:val="24"/>
          <w:szCs w:val="24"/>
        </w:rPr>
        <w:t>pela</w:t>
      </w:r>
      <w:r w:rsidR="004D2101" w:rsidRPr="00332D83">
        <w:rPr>
          <w:rFonts w:ascii="Times New Roman" w:hAnsi="Times New Roman" w:cs="Times New Roman"/>
          <w:sz w:val="24"/>
          <w:szCs w:val="24"/>
        </w:rPr>
        <w:t xml:space="preserve"> visão estruturalista</w:t>
      </w:r>
      <w:r w:rsidRPr="00332D83">
        <w:rPr>
          <w:rFonts w:ascii="Times New Roman" w:hAnsi="Times New Roman" w:cs="Times New Roman"/>
          <w:sz w:val="24"/>
          <w:szCs w:val="24"/>
        </w:rPr>
        <w:t xml:space="preserve"> é, portanto,</w:t>
      </w:r>
      <w:r w:rsidR="00D65B66">
        <w:rPr>
          <w:rFonts w:ascii="Times New Roman" w:hAnsi="Times New Roman" w:cs="Times New Roman"/>
          <w:sz w:val="24"/>
          <w:szCs w:val="24"/>
        </w:rPr>
        <w:t xml:space="preserve"> a</w:t>
      </w:r>
      <w:r w:rsidRPr="00332D83">
        <w:rPr>
          <w:rFonts w:ascii="Times New Roman" w:hAnsi="Times New Roman" w:cs="Times New Roman"/>
          <w:sz w:val="24"/>
          <w:szCs w:val="24"/>
        </w:rPr>
        <w:t xml:space="preserve"> questão do poder associado à moeda internacional. </w:t>
      </w:r>
      <w:r w:rsidR="00B6297F">
        <w:rPr>
          <w:rFonts w:ascii="Times New Roman" w:hAnsi="Times New Roman" w:cs="Times New Roman"/>
          <w:sz w:val="24"/>
          <w:szCs w:val="24"/>
        </w:rPr>
        <w:t xml:space="preserve">Segundo </w:t>
      </w:r>
      <w:r w:rsidR="003057FA" w:rsidRPr="00332D83">
        <w:rPr>
          <w:rFonts w:ascii="Times New Roman" w:hAnsi="Times New Roman" w:cs="Times New Roman"/>
          <w:sz w:val="24"/>
          <w:szCs w:val="24"/>
        </w:rPr>
        <w:t>Cohen</w:t>
      </w:r>
      <w:r w:rsidRPr="00332D83">
        <w:rPr>
          <w:rFonts w:ascii="Times New Roman" w:hAnsi="Times New Roman" w:cs="Times New Roman"/>
          <w:sz w:val="24"/>
          <w:szCs w:val="24"/>
        </w:rPr>
        <w:t>, há que se fazer um</w:t>
      </w:r>
      <w:r w:rsidR="003057FA" w:rsidRPr="00332D83">
        <w:rPr>
          <w:rFonts w:ascii="Times New Roman" w:hAnsi="Times New Roman" w:cs="Times New Roman"/>
          <w:sz w:val="24"/>
          <w:szCs w:val="24"/>
        </w:rPr>
        <w:t>a distinção entre a dimensão de processo e a de estrut</w:t>
      </w:r>
      <w:r w:rsidR="00360F11" w:rsidRPr="00332D83">
        <w:rPr>
          <w:rFonts w:ascii="Times New Roman" w:hAnsi="Times New Roman" w:cs="Times New Roman"/>
          <w:sz w:val="24"/>
          <w:szCs w:val="24"/>
        </w:rPr>
        <w:t xml:space="preserve">ura. A primeira tem um foco </w:t>
      </w:r>
      <w:r w:rsidR="008E07C9" w:rsidRPr="00332D83">
        <w:rPr>
          <w:rFonts w:ascii="Times New Roman" w:hAnsi="Times New Roman" w:cs="Times New Roman"/>
          <w:sz w:val="24"/>
          <w:szCs w:val="24"/>
        </w:rPr>
        <w:t>operacional e de</w:t>
      </w:r>
      <w:r w:rsidR="003057FA" w:rsidRPr="00332D83">
        <w:rPr>
          <w:rFonts w:ascii="Times New Roman" w:hAnsi="Times New Roman" w:cs="Times New Roman"/>
          <w:sz w:val="24"/>
          <w:szCs w:val="24"/>
        </w:rPr>
        <w:t xml:space="preserve"> curto prazo</w:t>
      </w:r>
      <w:r w:rsidR="008E07C9" w:rsidRPr="00332D83">
        <w:rPr>
          <w:rFonts w:ascii="Times New Roman" w:hAnsi="Times New Roman" w:cs="Times New Roman"/>
          <w:sz w:val="24"/>
          <w:szCs w:val="24"/>
        </w:rPr>
        <w:t>. E</w:t>
      </w:r>
      <w:r w:rsidR="003057FA" w:rsidRPr="00332D83">
        <w:rPr>
          <w:rFonts w:ascii="Times New Roman" w:hAnsi="Times New Roman" w:cs="Times New Roman"/>
          <w:sz w:val="24"/>
          <w:szCs w:val="24"/>
        </w:rPr>
        <w:t xml:space="preserve">stá associada à capacidade de </w:t>
      </w:r>
      <w:r w:rsidR="00360F11" w:rsidRPr="00332D83">
        <w:rPr>
          <w:rFonts w:ascii="Times New Roman" w:hAnsi="Times New Roman" w:cs="Times New Roman"/>
          <w:sz w:val="24"/>
          <w:szCs w:val="24"/>
        </w:rPr>
        <w:t xml:space="preserve">se </w:t>
      </w:r>
      <w:r w:rsidR="003057FA" w:rsidRPr="00332D83">
        <w:rPr>
          <w:rFonts w:ascii="Times New Roman" w:hAnsi="Times New Roman" w:cs="Times New Roman"/>
          <w:sz w:val="24"/>
          <w:szCs w:val="24"/>
        </w:rPr>
        <w:t>conseguir</w:t>
      </w:r>
      <w:r w:rsidR="00360F11" w:rsidRPr="00332D83">
        <w:rPr>
          <w:rFonts w:ascii="Times New Roman" w:hAnsi="Times New Roman" w:cs="Times New Roman"/>
          <w:sz w:val="24"/>
          <w:szCs w:val="24"/>
        </w:rPr>
        <w:t xml:space="preserve"> atingir um resultado desejado </w:t>
      </w:r>
      <w:r w:rsidR="003057FA" w:rsidRPr="00332D83">
        <w:rPr>
          <w:rFonts w:ascii="Times New Roman" w:hAnsi="Times New Roman" w:cs="Times New Roman"/>
          <w:sz w:val="24"/>
          <w:szCs w:val="24"/>
        </w:rPr>
        <w:t xml:space="preserve">dentro </w:t>
      </w:r>
      <w:r w:rsidR="00360F11" w:rsidRPr="00332D83">
        <w:rPr>
          <w:rFonts w:ascii="Times New Roman" w:hAnsi="Times New Roman" w:cs="Times New Roman"/>
          <w:sz w:val="24"/>
          <w:szCs w:val="24"/>
        </w:rPr>
        <w:t xml:space="preserve">um determinado esquema </w:t>
      </w:r>
      <w:r w:rsidR="00360BE8" w:rsidRPr="00332D83">
        <w:rPr>
          <w:rFonts w:ascii="Times New Roman" w:hAnsi="Times New Roman" w:cs="Times New Roman"/>
          <w:sz w:val="24"/>
          <w:szCs w:val="24"/>
        </w:rPr>
        <w:t xml:space="preserve">institucional </w:t>
      </w:r>
      <w:r w:rsidR="00360F11" w:rsidRPr="00332D83">
        <w:rPr>
          <w:rFonts w:ascii="Times New Roman" w:hAnsi="Times New Roman" w:cs="Times New Roman"/>
          <w:sz w:val="24"/>
          <w:szCs w:val="24"/>
        </w:rPr>
        <w:t xml:space="preserve">de </w:t>
      </w:r>
      <w:r w:rsidR="00360BE8" w:rsidRPr="00332D83">
        <w:rPr>
          <w:rFonts w:ascii="Times New Roman" w:hAnsi="Times New Roman" w:cs="Times New Roman"/>
          <w:sz w:val="24"/>
          <w:szCs w:val="24"/>
        </w:rPr>
        <w:t>negociação</w:t>
      </w:r>
      <w:r w:rsidR="00360F11" w:rsidRPr="00332D83">
        <w:rPr>
          <w:rFonts w:ascii="Times New Roman" w:hAnsi="Times New Roman" w:cs="Times New Roman"/>
          <w:sz w:val="24"/>
          <w:szCs w:val="24"/>
        </w:rPr>
        <w:t xml:space="preserve"> entre</w:t>
      </w:r>
      <w:r w:rsidR="00360BE8" w:rsidRPr="00332D83">
        <w:rPr>
          <w:rFonts w:ascii="Times New Roman" w:hAnsi="Times New Roman" w:cs="Times New Roman"/>
          <w:sz w:val="24"/>
          <w:szCs w:val="24"/>
        </w:rPr>
        <w:t xml:space="preserve"> países</w:t>
      </w:r>
      <w:r w:rsidR="003057FA" w:rsidRPr="00332D83">
        <w:rPr>
          <w:rFonts w:ascii="Times New Roman" w:hAnsi="Times New Roman" w:cs="Times New Roman"/>
          <w:sz w:val="24"/>
          <w:szCs w:val="24"/>
        </w:rPr>
        <w:t>. A</w:t>
      </w:r>
      <w:r w:rsidR="008E07C9" w:rsidRPr="00332D83">
        <w:rPr>
          <w:rFonts w:ascii="Times New Roman" w:hAnsi="Times New Roman" w:cs="Times New Roman"/>
          <w:sz w:val="24"/>
          <w:szCs w:val="24"/>
        </w:rPr>
        <w:t xml:space="preserve"> segunda</w:t>
      </w:r>
      <w:r w:rsidR="003057FA" w:rsidRPr="00332D83">
        <w:rPr>
          <w:rFonts w:ascii="Times New Roman" w:hAnsi="Times New Roman" w:cs="Times New Roman"/>
          <w:sz w:val="24"/>
          <w:szCs w:val="24"/>
        </w:rPr>
        <w:t xml:space="preserve"> dimensão</w:t>
      </w:r>
      <w:r w:rsidR="008E07C9" w:rsidRPr="00332D83">
        <w:rPr>
          <w:rFonts w:ascii="Times New Roman" w:hAnsi="Times New Roman" w:cs="Times New Roman"/>
          <w:sz w:val="24"/>
          <w:szCs w:val="24"/>
        </w:rPr>
        <w:t>, a</w:t>
      </w:r>
      <w:r w:rsidR="003057FA" w:rsidRPr="00332D83">
        <w:rPr>
          <w:rFonts w:ascii="Times New Roman" w:hAnsi="Times New Roman" w:cs="Times New Roman"/>
          <w:sz w:val="24"/>
          <w:szCs w:val="24"/>
        </w:rPr>
        <w:t xml:space="preserve"> estrutural</w:t>
      </w:r>
      <w:r w:rsidR="008E07C9" w:rsidRPr="00332D83">
        <w:rPr>
          <w:rFonts w:ascii="Times New Roman" w:hAnsi="Times New Roman" w:cs="Times New Roman"/>
          <w:sz w:val="24"/>
          <w:szCs w:val="24"/>
        </w:rPr>
        <w:t>,</w:t>
      </w:r>
      <w:r w:rsidR="00360F11" w:rsidRPr="00332D83">
        <w:rPr>
          <w:rFonts w:ascii="Times New Roman" w:hAnsi="Times New Roman" w:cs="Times New Roman"/>
          <w:sz w:val="24"/>
          <w:szCs w:val="24"/>
        </w:rPr>
        <w:t xml:space="preserve"> tem uma perspectiva temporal mais longa e está relacionada à capacidade de um país reescrever, em seu benefício, as regras do jogo da interação entre as nações. (</w:t>
      </w:r>
      <w:r w:rsidR="00862EB5">
        <w:rPr>
          <w:rFonts w:ascii="Times New Roman" w:hAnsi="Times New Roman" w:cs="Times New Roman"/>
          <w:sz w:val="24"/>
          <w:szCs w:val="24"/>
        </w:rPr>
        <w:t>COHEN</w:t>
      </w:r>
      <w:r w:rsidR="00360F11" w:rsidRPr="00332D83">
        <w:rPr>
          <w:rFonts w:ascii="Times New Roman" w:hAnsi="Times New Roman" w:cs="Times New Roman"/>
          <w:sz w:val="24"/>
          <w:szCs w:val="24"/>
        </w:rPr>
        <w:t>, 1977).</w:t>
      </w:r>
    </w:p>
    <w:p w:rsidR="00FF4C68" w:rsidRPr="00332D83" w:rsidRDefault="00576CF1" w:rsidP="00276F21">
      <w:pPr>
        <w:spacing w:line="240" w:lineRule="auto"/>
        <w:jc w:val="both"/>
        <w:rPr>
          <w:rFonts w:ascii="Times New Roman" w:hAnsi="Times New Roman" w:cs="Times New Roman"/>
          <w:sz w:val="24"/>
          <w:szCs w:val="24"/>
          <w:lang w:val="en-US"/>
        </w:rPr>
      </w:pPr>
      <w:r w:rsidRPr="00332D83">
        <w:rPr>
          <w:rFonts w:ascii="Times New Roman" w:hAnsi="Times New Roman" w:cs="Times New Roman"/>
          <w:sz w:val="24"/>
          <w:szCs w:val="24"/>
        </w:rPr>
        <w:t>A</w:t>
      </w:r>
      <w:r w:rsidR="000C5EB4" w:rsidRPr="00332D83">
        <w:rPr>
          <w:rFonts w:ascii="Times New Roman" w:hAnsi="Times New Roman" w:cs="Times New Roman"/>
          <w:sz w:val="24"/>
          <w:szCs w:val="24"/>
        </w:rPr>
        <w:t xml:space="preserve"> definição de poder estrutural</w:t>
      </w:r>
      <w:r w:rsidR="007906DB" w:rsidRPr="00332D83">
        <w:rPr>
          <w:rFonts w:ascii="Times New Roman" w:hAnsi="Times New Roman" w:cs="Times New Roman"/>
          <w:sz w:val="24"/>
          <w:szCs w:val="24"/>
        </w:rPr>
        <w:t xml:space="preserve"> </w:t>
      </w:r>
      <w:r w:rsidRPr="00332D83">
        <w:rPr>
          <w:rFonts w:ascii="Times New Roman" w:hAnsi="Times New Roman" w:cs="Times New Roman"/>
          <w:sz w:val="24"/>
          <w:szCs w:val="24"/>
        </w:rPr>
        <w:t xml:space="preserve">de Cohen </w:t>
      </w:r>
      <w:r w:rsidR="000C5EB4" w:rsidRPr="00332D83">
        <w:rPr>
          <w:rFonts w:ascii="Times New Roman" w:hAnsi="Times New Roman" w:cs="Times New Roman"/>
          <w:sz w:val="24"/>
          <w:szCs w:val="24"/>
        </w:rPr>
        <w:t>se aproxima da que é u</w:t>
      </w:r>
      <w:r w:rsidR="007906DB" w:rsidRPr="00332D83">
        <w:rPr>
          <w:rFonts w:ascii="Times New Roman" w:hAnsi="Times New Roman" w:cs="Times New Roman"/>
          <w:sz w:val="24"/>
          <w:szCs w:val="24"/>
        </w:rPr>
        <w:t>tiliz</w:t>
      </w:r>
      <w:r w:rsidR="000C5EB4" w:rsidRPr="00332D83">
        <w:rPr>
          <w:rFonts w:ascii="Times New Roman" w:hAnsi="Times New Roman" w:cs="Times New Roman"/>
          <w:sz w:val="24"/>
          <w:szCs w:val="24"/>
        </w:rPr>
        <w:t>ada por Susan Strange</w:t>
      </w:r>
      <w:r w:rsidR="00FF4C68" w:rsidRPr="00332D83">
        <w:rPr>
          <w:rFonts w:ascii="Times New Roman" w:hAnsi="Times New Roman" w:cs="Times New Roman"/>
          <w:sz w:val="24"/>
          <w:szCs w:val="24"/>
        </w:rPr>
        <w:t xml:space="preserve">. </w:t>
      </w:r>
      <w:r w:rsidR="00FF4C68" w:rsidRPr="00415AC4">
        <w:rPr>
          <w:rFonts w:ascii="Times New Roman" w:hAnsi="Times New Roman" w:cs="Times New Roman"/>
          <w:sz w:val="24"/>
          <w:szCs w:val="24"/>
          <w:lang w:val="en-US"/>
        </w:rPr>
        <w:t>Segundo</w:t>
      </w:r>
      <w:r w:rsidR="00D65B66" w:rsidRPr="00415AC4">
        <w:rPr>
          <w:rFonts w:ascii="Times New Roman" w:hAnsi="Times New Roman" w:cs="Times New Roman"/>
          <w:sz w:val="24"/>
          <w:szCs w:val="24"/>
          <w:lang w:val="en-US"/>
        </w:rPr>
        <w:t xml:space="preserve"> </w:t>
      </w:r>
      <w:proofErr w:type="spellStart"/>
      <w:r w:rsidR="00D65B66" w:rsidRPr="00415AC4">
        <w:rPr>
          <w:rFonts w:ascii="Times New Roman" w:hAnsi="Times New Roman" w:cs="Times New Roman"/>
          <w:sz w:val="24"/>
          <w:szCs w:val="24"/>
          <w:lang w:val="en-US"/>
        </w:rPr>
        <w:t>essa</w:t>
      </w:r>
      <w:proofErr w:type="spellEnd"/>
      <w:r w:rsidR="00D65B66" w:rsidRPr="00415AC4">
        <w:rPr>
          <w:rFonts w:ascii="Times New Roman" w:hAnsi="Times New Roman" w:cs="Times New Roman"/>
          <w:sz w:val="24"/>
          <w:szCs w:val="24"/>
          <w:lang w:val="en-US"/>
        </w:rPr>
        <w:t xml:space="preserve"> </w:t>
      </w:r>
      <w:proofErr w:type="spellStart"/>
      <w:r w:rsidR="00D65B66" w:rsidRPr="00415AC4">
        <w:rPr>
          <w:rFonts w:ascii="Times New Roman" w:hAnsi="Times New Roman" w:cs="Times New Roman"/>
          <w:sz w:val="24"/>
          <w:szCs w:val="24"/>
          <w:lang w:val="en-US"/>
        </w:rPr>
        <w:t>autora</w:t>
      </w:r>
      <w:proofErr w:type="spellEnd"/>
      <w:r w:rsidR="00FF4C68" w:rsidRPr="00332D83">
        <w:rPr>
          <w:rFonts w:ascii="Times New Roman" w:hAnsi="Times New Roman" w:cs="Times New Roman"/>
          <w:sz w:val="24"/>
          <w:szCs w:val="24"/>
          <w:lang w:val="en-US"/>
        </w:rPr>
        <w:t>,</w:t>
      </w:r>
      <w:r w:rsidR="00906F5A" w:rsidRPr="00332D83">
        <w:rPr>
          <w:rFonts w:ascii="Times New Roman" w:hAnsi="Times New Roman" w:cs="Times New Roman"/>
          <w:sz w:val="24"/>
          <w:szCs w:val="24"/>
          <w:lang w:val="en-US"/>
        </w:rPr>
        <w:t xml:space="preserve"> “</w:t>
      </w:r>
      <w:r w:rsidR="003057FA" w:rsidRPr="00332D83">
        <w:rPr>
          <w:rFonts w:ascii="Times New Roman" w:hAnsi="Times New Roman" w:cs="Times New Roman"/>
          <w:i/>
          <w:sz w:val="24"/>
          <w:szCs w:val="24"/>
          <w:lang w:val="en-US"/>
        </w:rPr>
        <w:t>structural power decides outcomes (both positive and</w:t>
      </w:r>
      <w:r w:rsidR="00906F5A" w:rsidRPr="00332D83">
        <w:rPr>
          <w:rFonts w:ascii="Times New Roman" w:hAnsi="Times New Roman" w:cs="Times New Roman"/>
          <w:i/>
          <w:sz w:val="24"/>
          <w:szCs w:val="24"/>
          <w:lang w:val="en-US"/>
        </w:rPr>
        <w:t xml:space="preserve"> </w:t>
      </w:r>
      <w:r w:rsidR="003057FA" w:rsidRPr="00332D83">
        <w:rPr>
          <w:rFonts w:ascii="Times New Roman" w:hAnsi="Times New Roman" w:cs="Times New Roman"/>
          <w:i/>
          <w:sz w:val="24"/>
          <w:szCs w:val="24"/>
          <w:lang w:val="en-US"/>
        </w:rPr>
        <w:t xml:space="preserve">negative) much more than relational power </w:t>
      </w:r>
      <w:proofErr w:type="gramStart"/>
      <w:r w:rsidR="003057FA" w:rsidRPr="00332D83">
        <w:rPr>
          <w:rFonts w:ascii="Times New Roman" w:hAnsi="Times New Roman" w:cs="Times New Roman"/>
          <w:i/>
          <w:sz w:val="24"/>
          <w:szCs w:val="24"/>
          <w:lang w:val="en-US"/>
        </w:rPr>
        <w:t>does</w:t>
      </w:r>
      <w:r w:rsidR="0028449D" w:rsidRPr="00332D83">
        <w:rPr>
          <w:rFonts w:ascii="Times New Roman" w:hAnsi="Times New Roman" w:cs="Times New Roman"/>
          <w:sz w:val="24"/>
          <w:szCs w:val="24"/>
          <w:lang w:val="en-US"/>
        </w:rPr>
        <w:t>“</w:t>
      </w:r>
      <w:r w:rsidR="00F61DD9">
        <w:rPr>
          <w:rFonts w:ascii="Times New Roman" w:hAnsi="Times New Roman" w:cs="Times New Roman"/>
          <w:sz w:val="24"/>
          <w:szCs w:val="24"/>
          <w:lang w:val="en-US"/>
        </w:rPr>
        <w:t xml:space="preserve"> </w:t>
      </w:r>
      <w:r w:rsidR="0028449D" w:rsidRPr="00332D83">
        <w:rPr>
          <w:rFonts w:ascii="Times New Roman" w:hAnsi="Times New Roman" w:cs="Times New Roman"/>
          <w:sz w:val="24"/>
          <w:szCs w:val="24"/>
          <w:lang w:val="en-US"/>
        </w:rPr>
        <w:t>(</w:t>
      </w:r>
      <w:proofErr w:type="gramEnd"/>
      <w:r w:rsidR="00B6297F">
        <w:rPr>
          <w:rFonts w:ascii="Times New Roman" w:hAnsi="Times New Roman" w:cs="Times New Roman"/>
          <w:sz w:val="24"/>
          <w:szCs w:val="24"/>
          <w:lang w:val="en-US"/>
        </w:rPr>
        <w:t>STRANGE</w:t>
      </w:r>
      <w:r w:rsidR="00FB16E4">
        <w:rPr>
          <w:rFonts w:ascii="Times New Roman" w:hAnsi="Times New Roman" w:cs="Times New Roman"/>
          <w:sz w:val="24"/>
          <w:szCs w:val="24"/>
          <w:lang w:val="en-US"/>
        </w:rPr>
        <w:t>,</w:t>
      </w:r>
      <w:r w:rsidRPr="00332D83">
        <w:rPr>
          <w:rFonts w:ascii="Times New Roman" w:hAnsi="Times New Roman" w:cs="Times New Roman"/>
          <w:sz w:val="24"/>
          <w:szCs w:val="24"/>
          <w:lang w:val="en-US"/>
        </w:rPr>
        <w:t>1987:</w:t>
      </w:r>
      <w:r w:rsidR="003057FA" w:rsidRPr="00332D83">
        <w:rPr>
          <w:rFonts w:ascii="Times New Roman" w:hAnsi="Times New Roman" w:cs="Times New Roman"/>
          <w:sz w:val="24"/>
          <w:szCs w:val="24"/>
          <w:lang w:val="en-US"/>
        </w:rPr>
        <w:t xml:space="preserve">553), </w:t>
      </w:r>
      <w:r w:rsidR="00906F5A" w:rsidRPr="00332D83">
        <w:rPr>
          <w:rFonts w:ascii="Times New Roman" w:hAnsi="Times New Roman" w:cs="Times New Roman"/>
          <w:sz w:val="24"/>
          <w:szCs w:val="24"/>
          <w:lang w:val="en-US"/>
        </w:rPr>
        <w:t xml:space="preserve">e </w:t>
      </w:r>
      <w:r w:rsidR="003448DF" w:rsidRPr="00332D83">
        <w:rPr>
          <w:rFonts w:ascii="Times New Roman" w:hAnsi="Times New Roman" w:cs="Times New Roman"/>
          <w:sz w:val="24"/>
          <w:szCs w:val="24"/>
          <w:lang w:val="en-US"/>
        </w:rPr>
        <w:t>“</w:t>
      </w:r>
      <w:r w:rsidR="00906F5A" w:rsidRPr="00332D83">
        <w:rPr>
          <w:rFonts w:ascii="Times New Roman" w:hAnsi="Times New Roman" w:cs="Times New Roman"/>
          <w:i/>
          <w:sz w:val="24"/>
          <w:szCs w:val="24"/>
          <w:lang w:val="en-US"/>
        </w:rPr>
        <w:t>s</w:t>
      </w:r>
      <w:r w:rsidR="003057FA" w:rsidRPr="00332D83">
        <w:rPr>
          <w:rFonts w:ascii="Times New Roman" w:hAnsi="Times New Roman" w:cs="Times New Roman"/>
          <w:i/>
          <w:sz w:val="24"/>
          <w:szCs w:val="24"/>
          <w:lang w:val="en-US"/>
        </w:rPr>
        <w:t>tructural power is the power to choose and to shape the structures</w:t>
      </w:r>
      <w:r w:rsidR="00906F5A" w:rsidRPr="00332D83">
        <w:rPr>
          <w:rFonts w:ascii="Times New Roman" w:hAnsi="Times New Roman" w:cs="Times New Roman"/>
          <w:i/>
          <w:sz w:val="24"/>
          <w:szCs w:val="24"/>
          <w:lang w:val="en-US"/>
        </w:rPr>
        <w:t xml:space="preserve"> </w:t>
      </w:r>
      <w:r w:rsidR="003057FA" w:rsidRPr="00332D83">
        <w:rPr>
          <w:rFonts w:ascii="Times New Roman" w:hAnsi="Times New Roman" w:cs="Times New Roman"/>
          <w:i/>
          <w:sz w:val="24"/>
          <w:szCs w:val="24"/>
          <w:lang w:val="en-US"/>
        </w:rPr>
        <w:t>of</w:t>
      </w:r>
      <w:r w:rsidR="0028449D" w:rsidRPr="00332D83">
        <w:rPr>
          <w:rFonts w:ascii="Times New Roman" w:hAnsi="Times New Roman" w:cs="Times New Roman"/>
          <w:i/>
          <w:sz w:val="24"/>
          <w:szCs w:val="24"/>
          <w:lang w:val="en-US"/>
        </w:rPr>
        <w:t xml:space="preserve"> </w:t>
      </w:r>
      <w:r w:rsidR="003057FA" w:rsidRPr="00332D83">
        <w:rPr>
          <w:rFonts w:ascii="Times New Roman" w:hAnsi="Times New Roman" w:cs="Times New Roman"/>
          <w:i/>
          <w:sz w:val="24"/>
          <w:szCs w:val="24"/>
          <w:lang w:val="en-US"/>
        </w:rPr>
        <w:t xml:space="preserve">the global political economy </w:t>
      </w:r>
      <w:r w:rsidR="007906DB" w:rsidRPr="00332D83">
        <w:rPr>
          <w:rFonts w:ascii="Times New Roman" w:hAnsi="Times New Roman" w:cs="Times New Roman"/>
          <w:i/>
          <w:sz w:val="24"/>
          <w:szCs w:val="24"/>
          <w:lang w:val="en-US"/>
        </w:rPr>
        <w:t>within which other states, their political institutions, their economic enterprises, and (not</w:t>
      </w:r>
      <w:r w:rsidR="00FF4C68" w:rsidRPr="00332D83">
        <w:rPr>
          <w:rFonts w:ascii="Times New Roman" w:hAnsi="Times New Roman" w:cs="Times New Roman"/>
          <w:i/>
          <w:sz w:val="24"/>
          <w:szCs w:val="24"/>
          <w:lang w:val="en-US"/>
        </w:rPr>
        <w:t xml:space="preserve"> </w:t>
      </w:r>
      <w:r w:rsidR="007906DB" w:rsidRPr="00332D83">
        <w:rPr>
          <w:rFonts w:ascii="Times New Roman" w:hAnsi="Times New Roman" w:cs="Times New Roman"/>
          <w:i/>
          <w:sz w:val="24"/>
          <w:szCs w:val="24"/>
          <w:lang w:val="en-US"/>
        </w:rPr>
        <w:t>least) their professional people have to operate</w:t>
      </w:r>
      <w:r w:rsidR="003448DF" w:rsidRPr="00332D83">
        <w:rPr>
          <w:rFonts w:ascii="Times New Roman" w:hAnsi="Times New Roman" w:cs="Times New Roman"/>
          <w:sz w:val="24"/>
          <w:szCs w:val="24"/>
          <w:lang w:val="en-US"/>
        </w:rPr>
        <w:t>“</w:t>
      </w:r>
      <w:r w:rsidR="003057FA" w:rsidRPr="00332D83">
        <w:rPr>
          <w:rFonts w:ascii="Times New Roman" w:hAnsi="Times New Roman" w:cs="Times New Roman"/>
          <w:sz w:val="24"/>
          <w:szCs w:val="24"/>
          <w:lang w:val="en-US"/>
        </w:rPr>
        <w:t xml:space="preserve"> (</w:t>
      </w:r>
      <w:r w:rsidR="00B6297F">
        <w:rPr>
          <w:rFonts w:ascii="Times New Roman" w:hAnsi="Times New Roman" w:cs="Times New Roman"/>
          <w:sz w:val="24"/>
          <w:szCs w:val="24"/>
          <w:lang w:val="en-US"/>
        </w:rPr>
        <w:t>STRANGE</w:t>
      </w:r>
      <w:r w:rsidR="00E16843">
        <w:rPr>
          <w:rFonts w:ascii="Times New Roman" w:hAnsi="Times New Roman" w:cs="Times New Roman"/>
          <w:sz w:val="24"/>
          <w:szCs w:val="24"/>
          <w:lang w:val="en-US"/>
        </w:rPr>
        <w:t xml:space="preserve">, </w:t>
      </w:r>
      <w:r w:rsidRPr="00332D83">
        <w:rPr>
          <w:rFonts w:ascii="Times New Roman" w:hAnsi="Times New Roman" w:cs="Times New Roman"/>
          <w:sz w:val="24"/>
          <w:szCs w:val="24"/>
          <w:lang w:val="en-US"/>
        </w:rPr>
        <w:t>1987:</w:t>
      </w:r>
      <w:r w:rsidR="003057FA" w:rsidRPr="00332D83">
        <w:rPr>
          <w:rFonts w:ascii="Times New Roman" w:hAnsi="Times New Roman" w:cs="Times New Roman"/>
          <w:sz w:val="24"/>
          <w:szCs w:val="24"/>
          <w:lang w:val="en-US"/>
        </w:rPr>
        <w:t xml:space="preserve">565). </w:t>
      </w:r>
    </w:p>
    <w:p w:rsidR="000C406B" w:rsidRPr="00332D83" w:rsidRDefault="00FF4C68"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Nesse contexto, o poder monetário é </w:t>
      </w:r>
      <w:r w:rsidR="00C5747E" w:rsidRPr="00332D83">
        <w:rPr>
          <w:rFonts w:ascii="Times New Roman" w:hAnsi="Times New Roman" w:cs="Times New Roman"/>
          <w:sz w:val="24"/>
          <w:szCs w:val="24"/>
        </w:rPr>
        <w:t>visto como</w:t>
      </w:r>
      <w:r w:rsidRPr="00332D83">
        <w:rPr>
          <w:rFonts w:ascii="Times New Roman" w:hAnsi="Times New Roman" w:cs="Times New Roman"/>
          <w:sz w:val="24"/>
          <w:szCs w:val="24"/>
        </w:rPr>
        <w:t xml:space="preserve"> uma das dimensões do poder estrutural. Ele se refere</w:t>
      </w:r>
      <w:r w:rsidR="00FC799F" w:rsidRPr="00332D83">
        <w:rPr>
          <w:rFonts w:ascii="Times New Roman" w:hAnsi="Times New Roman" w:cs="Times New Roman"/>
          <w:sz w:val="24"/>
          <w:szCs w:val="24"/>
        </w:rPr>
        <w:t xml:space="preserve"> especificamente</w:t>
      </w:r>
      <w:r w:rsidRPr="00332D83">
        <w:rPr>
          <w:rFonts w:ascii="Times New Roman" w:hAnsi="Times New Roman" w:cs="Times New Roman"/>
          <w:sz w:val="24"/>
          <w:szCs w:val="24"/>
        </w:rPr>
        <w:t xml:space="preserve"> à capacidade de um país mudar</w:t>
      </w:r>
      <w:r w:rsidR="00360BE8" w:rsidRPr="00332D83">
        <w:rPr>
          <w:rFonts w:ascii="Times New Roman" w:hAnsi="Times New Roman" w:cs="Times New Roman"/>
          <w:sz w:val="24"/>
          <w:szCs w:val="24"/>
        </w:rPr>
        <w:t>, em seu próprio benefício,</w:t>
      </w:r>
      <w:r w:rsidR="00C5747E" w:rsidRPr="00332D83">
        <w:rPr>
          <w:rFonts w:ascii="Times New Roman" w:hAnsi="Times New Roman" w:cs="Times New Roman"/>
          <w:sz w:val="24"/>
          <w:szCs w:val="24"/>
        </w:rPr>
        <w:t xml:space="preserve"> os mecanismos</w:t>
      </w:r>
      <w:r w:rsidR="00941B43" w:rsidRPr="00332D83">
        <w:rPr>
          <w:rFonts w:ascii="Times New Roman" w:hAnsi="Times New Roman" w:cs="Times New Roman"/>
          <w:sz w:val="24"/>
          <w:szCs w:val="24"/>
        </w:rPr>
        <w:t xml:space="preserve"> de natureza sistêmica </w:t>
      </w:r>
      <w:r w:rsidRPr="00332D83">
        <w:rPr>
          <w:rFonts w:ascii="Times New Roman" w:hAnsi="Times New Roman" w:cs="Times New Roman"/>
          <w:sz w:val="24"/>
          <w:szCs w:val="24"/>
        </w:rPr>
        <w:t xml:space="preserve">que regem </w:t>
      </w:r>
      <w:r w:rsidR="00FC799F" w:rsidRPr="00332D83">
        <w:rPr>
          <w:rFonts w:ascii="Times New Roman" w:hAnsi="Times New Roman" w:cs="Times New Roman"/>
          <w:sz w:val="24"/>
          <w:szCs w:val="24"/>
        </w:rPr>
        <w:t xml:space="preserve">a </w:t>
      </w:r>
      <w:r w:rsidR="00A70A34" w:rsidRPr="00332D83">
        <w:rPr>
          <w:rFonts w:ascii="Times New Roman" w:hAnsi="Times New Roman" w:cs="Times New Roman"/>
          <w:sz w:val="24"/>
          <w:szCs w:val="24"/>
        </w:rPr>
        <w:t>originação de</w:t>
      </w:r>
      <w:r w:rsidR="009910CF" w:rsidRPr="00332D83">
        <w:rPr>
          <w:rFonts w:ascii="Times New Roman" w:hAnsi="Times New Roman" w:cs="Times New Roman"/>
          <w:sz w:val="24"/>
          <w:szCs w:val="24"/>
        </w:rPr>
        <w:t xml:space="preserve"> </w:t>
      </w:r>
      <w:r w:rsidR="00FC799F" w:rsidRPr="00332D83">
        <w:rPr>
          <w:rFonts w:ascii="Times New Roman" w:hAnsi="Times New Roman" w:cs="Times New Roman"/>
          <w:sz w:val="24"/>
          <w:szCs w:val="24"/>
        </w:rPr>
        <w:t>crédito</w:t>
      </w:r>
      <w:r w:rsidR="00941B43" w:rsidRPr="00332D83">
        <w:rPr>
          <w:rFonts w:ascii="Times New Roman" w:hAnsi="Times New Roman" w:cs="Times New Roman"/>
          <w:sz w:val="24"/>
          <w:szCs w:val="24"/>
        </w:rPr>
        <w:t xml:space="preserve"> </w:t>
      </w:r>
      <w:r w:rsidR="00FC799F" w:rsidRPr="00332D83">
        <w:rPr>
          <w:rFonts w:ascii="Times New Roman" w:hAnsi="Times New Roman" w:cs="Times New Roman"/>
          <w:sz w:val="24"/>
          <w:szCs w:val="24"/>
        </w:rPr>
        <w:t xml:space="preserve">e </w:t>
      </w:r>
      <w:r w:rsidR="00360BE8" w:rsidRPr="00332D83">
        <w:rPr>
          <w:rFonts w:ascii="Times New Roman" w:hAnsi="Times New Roman" w:cs="Times New Roman"/>
          <w:sz w:val="24"/>
          <w:szCs w:val="24"/>
        </w:rPr>
        <w:t>comandam a</w:t>
      </w:r>
      <w:r w:rsidRPr="00332D83">
        <w:rPr>
          <w:rFonts w:ascii="Times New Roman" w:hAnsi="Times New Roman" w:cs="Times New Roman"/>
          <w:sz w:val="24"/>
          <w:szCs w:val="24"/>
        </w:rPr>
        <w:t xml:space="preserve"> conversibilidade </w:t>
      </w:r>
      <w:r w:rsidR="00360BE8" w:rsidRPr="00332D83">
        <w:rPr>
          <w:rFonts w:ascii="Times New Roman" w:hAnsi="Times New Roman" w:cs="Times New Roman"/>
          <w:sz w:val="24"/>
          <w:szCs w:val="24"/>
        </w:rPr>
        <w:t>entre as diferentes moedas relevantes</w:t>
      </w:r>
      <w:r w:rsidRPr="00332D83">
        <w:rPr>
          <w:rFonts w:ascii="Times New Roman" w:hAnsi="Times New Roman" w:cs="Times New Roman"/>
          <w:sz w:val="24"/>
          <w:szCs w:val="24"/>
        </w:rPr>
        <w:t xml:space="preserve">. Essas </w:t>
      </w:r>
      <w:r w:rsidR="00360BE8" w:rsidRPr="00332D83">
        <w:rPr>
          <w:rFonts w:ascii="Times New Roman" w:hAnsi="Times New Roman" w:cs="Times New Roman"/>
          <w:sz w:val="24"/>
          <w:szCs w:val="24"/>
        </w:rPr>
        <w:t>normas determinam a</w:t>
      </w:r>
      <w:r w:rsidR="00526B1A" w:rsidRPr="00332D83">
        <w:rPr>
          <w:rFonts w:ascii="Times New Roman" w:hAnsi="Times New Roman" w:cs="Times New Roman"/>
          <w:sz w:val="24"/>
          <w:szCs w:val="24"/>
        </w:rPr>
        <w:t xml:space="preserve"> possibilidade</w:t>
      </w:r>
      <w:r w:rsidRPr="00332D83">
        <w:rPr>
          <w:rFonts w:ascii="Times New Roman" w:hAnsi="Times New Roman" w:cs="Times New Roman"/>
          <w:sz w:val="24"/>
          <w:szCs w:val="24"/>
        </w:rPr>
        <w:t xml:space="preserve"> d</w:t>
      </w:r>
      <w:r w:rsidR="00FC799F" w:rsidRPr="00332D83">
        <w:rPr>
          <w:rFonts w:ascii="Times New Roman" w:hAnsi="Times New Roman" w:cs="Times New Roman"/>
          <w:sz w:val="24"/>
          <w:szCs w:val="24"/>
        </w:rPr>
        <w:t xml:space="preserve">e </w:t>
      </w:r>
      <w:r w:rsidRPr="00332D83">
        <w:rPr>
          <w:rFonts w:ascii="Times New Roman" w:hAnsi="Times New Roman" w:cs="Times New Roman"/>
          <w:sz w:val="24"/>
          <w:szCs w:val="24"/>
        </w:rPr>
        <w:t xml:space="preserve">as nações emissoras </w:t>
      </w:r>
      <w:r w:rsidR="00360BE8" w:rsidRPr="00332D83">
        <w:rPr>
          <w:rFonts w:ascii="Times New Roman" w:hAnsi="Times New Roman" w:cs="Times New Roman"/>
          <w:sz w:val="24"/>
          <w:szCs w:val="24"/>
        </w:rPr>
        <w:t xml:space="preserve">de moeda internacional </w:t>
      </w:r>
      <w:r w:rsidRPr="00332D83">
        <w:rPr>
          <w:rFonts w:ascii="Times New Roman" w:hAnsi="Times New Roman" w:cs="Times New Roman"/>
          <w:sz w:val="24"/>
          <w:szCs w:val="24"/>
        </w:rPr>
        <w:t>utilizar</w:t>
      </w:r>
      <w:r w:rsidR="005A07B1" w:rsidRPr="00332D83">
        <w:rPr>
          <w:rFonts w:ascii="Times New Roman" w:hAnsi="Times New Roman" w:cs="Times New Roman"/>
          <w:sz w:val="24"/>
          <w:szCs w:val="24"/>
        </w:rPr>
        <w:t>em</w:t>
      </w:r>
      <w:r w:rsidR="000C406B" w:rsidRPr="00332D83">
        <w:rPr>
          <w:rFonts w:ascii="Times New Roman" w:hAnsi="Times New Roman" w:cs="Times New Roman"/>
          <w:sz w:val="24"/>
          <w:szCs w:val="24"/>
        </w:rPr>
        <w:t xml:space="preserve"> seus sistemas monetário e financeiro</w:t>
      </w:r>
      <w:r w:rsidRPr="00332D83">
        <w:rPr>
          <w:rFonts w:ascii="Times New Roman" w:hAnsi="Times New Roman" w:cs="Times New Roman"/>
          <w:sz w:val="24"/>
          <w:szCs w:val="24"/>
        </w:rPr>
        <w:t xml:space="preserve"> para </w:t>
      </w:r>
      <w:r w:rsidR="00C5747E" w:rsidRPr="00332D83">
        <w:rPr>
          <w:rFonts w:ascii="Times New Roman" w:hAnsi="Times New Roman" w:cs="Times New Roman"/>
          <w:sz w:val="24"/>
          <w:szCs w:val="24"/>
        </w:rPr>
        <w:t>impedir ou postergar ajustes em</w:t>
      </w:r>
      <w:r w:rsidR="00FC799F" w:rsidRPr="00332D83">
        <w:rPr>
          <w:rFonts w:ascii="Times New Roman" w:hAnsi="Times New Roman" w:cs="Times New Roman"/>
          <w:sz w:val="24"/>
          <w:szCs w:val="24"/>
        </w:rPr>
        <w:t xml:space="preserve"> suas contas externas</w:t>
      </w:r>
      <w:r w:rsidR="00A70A34" w:rsidRPr="00332D83">
        <w:rPr>
          <w:rFonts w:ascii="Times New Roman" w:hAnsi="Times New Roman" w:cs="Times New Roman"/>
          <w:sz w:val="24"/>
          <w:szCs w:val="24"/>
        </w:rPr>
        <w:t>. Consequentemente,</w:t>
      </w:r>
      <w:r w:rsidR="00FC799F" w:rsidRPr="00332D83">
        <w:rPr>
          <w:rFonts w:ascii="Times New Roman" w:hAnsi="Times New Roman" w:cs="Times New Roman"/>
          <w:sz w:val="24"/>
          <w:szCs w:val="24"/>
        </w:rPr>
        <w:t xml:space="preserve"> </w:t>
      </w:r>
      <w:r w:rsidR="00526B1A" w:rsidRPr="00332D83">
        <w:rPr>
          <w:rFonts w:ascii="Times New Roman" w:hAnsi="Times New Roman" w:cs="Times New Roman"/>
          <w:sz w:val="24"/>
          <w:szCs w:val="24"/>
        </w:rPr>
        <w:t>t</w:t>
      </w:r>
      <w:r w:rsidR="006022EE" w:rsidRPr="00332D83">
        <w:rPr>
          <w:rFonts w:ascii="Times New Roman" w:hAnsi="Times New Roman" w:cs="Times New Roman"/>
          <w:sz w:val="24"/>
          <w:szCs w:val="24"/>
        </w:rPr>
        <w:t>ê</w:t>
      </w:r>
      <w:r w:rsidR="00526B1A" w:rsidRPr="00332D83">
        <w:rPr>
          <w:rFonts w:ascii="Times New Roman" w:hAnsi="Times New Roman" w:cs="Times New Roman"/>
          <w:sz w:val="24"/>
          <w:szCs w:val="24"/>
        </w:rPr>
        <w:t xml:space="preserve">m repercussões sobre </w:t>
      </w:r>
      <w:r w:rsidR="00C5747E" w:rsidRPr="00332D83">
        <w:rPr>
          <w:rFonts w:ascii="Times New Roman" w:hAnsi="Times New Roman" w:cs="Times New Roman"/>
          <w:sz w:val="24"/>
          <w:szCs w:val="24"/>
        </w:rPr>
        <w:t>o grau de autonomia desses Estados na formulação de suas</w:t>
      </w:r>
      <w:r w:rsidR="00FC799F" w:rsidRPr="00332D83">
        <w:rPr>
          <w:rFonts w:ascii="Times New Roman" w:hAnsi="Times New Roman" w:cs="Times New Roman"/>
          <w:sz w:val="24"/>
          <w:szCs w:val="24"/>
        </w:rPr>
        <w:t xml:space="preserve"> política</w:t>
      </w:r>
      <w:r w:rsidR="005A07B1" w:rsidRPr="00332D83">
        <w:rPr>
          <w:rFonts w:ascii="Times New Roman" w:hAnsi="Times New Roman" w:cs="Times New Roman"/>
          <w:sz w:val="24"/>
          <w:szCs w:val="24"/>
        </w:rPr>
        <w:t>s</w:t>
      </w:r>
      <w:r w:rsidR="001D37E9" w:rsidRPr="00332D83">
        <w:rPr>
          <w:rFonts w:ascii="Times New Roman" w:hAnsi="Times New Roman" w:cs="Times New Roman"/>
          <w:sz w:val="24"/>
          <w:szCs w:val="24"/>
        </w:rPr>
        <w:t xml:space="preserve">. </w:t>
      </w:r>
    </w:p>
    <w:p w:rsidR="00360F11" w:rsidRDefault="001D37E9"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Isso pode afetar aspectos </w:t>
      </w:r>
      <w:r w:rsidR="000C406B" w:rsidRPr="00332D83">
        <w:rPr>
          <w:rFonts w:ascii="Times New Roman" w:hAnsi="Times New Roman" w:cs="Times New Roman"/>
          <w:sz w:val="24"/>
          <w:szCs w:val="24"/>
        </w:rPr>
        <w:t xml:space="preserve">econômicos </w:t>
      </w:r>
      <w:r w:rsidRPr="00332D83">
        <w:rPr>
          <w:rFonts w:ascii="Times New Roman" w:hAnsi="Times New Roman" w:cs="Times New Roman"/>
          <w:sz w:val="24"/>
          <w:szCs w:val="24"/>
        </w:rPr>
        <w:t>como a determinação d</w:t>
      </w:r>
      <w:r w:rsidR="00A70A34" w:rsidRPr="00332D83">
        <w:rPr>
          <w:rFonts w:ascii="Times New Roman" w:hAnsi="Times New Roman" w:cs="Times New Roman"/>
          <w:sz w:val="24"/>
          <w:szCs w:val="24"/>
        </w:rPr>
        <w:t>os níveis de</w:t>
      </w:r>
      <w:r w:rsidR="00FC799F" w:rsidRPr="00332D83">
        <w:rPr>
          <w:rFonts w:ascii="Times New Roman" w:hAnsi="Times New Roman" w:cs="Times New Roman"/>
          <w:sz w:val="24"/>
          <w:szCs w:val="24"/>
        </w:rPr>
        <w:t xml:space="preserve"> emprego e d</w:t>
      </w:r>
      <w:r w:rsidR="00A70A34" w:rsidRPr="00332D83">
        <w:rPr>
          <w:rFonts w:ascii="Times New Roman" w:hAnsi="Times New Roman" w:cs="Times New Roman"/>
          <w:sz w:val="24"/>
          <w:szCs w:val="24"/>
        </w:rPr>
        <w:t>e</w:t>
      </w:r>
      <w:r w:rsidR="00FC799F" w:rsidRPr="00332D83">
        <w:rPr>
          <w:rFonts w:ascii="Times New Roman" w:hAnsi="Times New Roman" w:cs="Times New Roman"/>
          <w:sz w:val="24"/>
          <w:szCs w:val="24"/>
        </w:rPr>
        <w:t xml:space="preserve"> renda</w:t>
      </w:r>
      <w:r w:rsidRPr="00332D83">
        <w:rPr>
          <w:rFonts w:ascii="Times New Roman" w:hAnsi="Times New Roman" w:cs="Times New Roman"/>
          <w:sz w:val="24"/>
          <w:szCs w:val="24"/>
        </w:rPr>
        <w:t xml:space="preserve"> domésticos. Entretanto, pode também limitar a capacidade de governos sustentarem ações de poder</w:t>
      </w:r>
      <w:r w:rsidR="000C406B" w:rsidRPr="00332D83">
        <w:rPr>
          <w:rFonts w:ascii="Times New Roman" w:hAnsi="Times New Roman" w:cs="Times New Roman"/>
          <w:sz w:val="24"/>
          <w:szCs w:val="24"/>
        </w:rPr>
        <w:t xml:space="preserve"> </w:t>
      </w:r>
      <w:r w:rsidRPr="00332D83">
        <w:rPr>
          <w:rFonts w:ascii="Times New Roman" w:hAnsi="Times New Roman" w:cs="Times New Roman"/>
          <w:sz w:val="24"/>
          <w:szCs w:val="24"/>
        </w:rPr>
        <w:t xml:space="preserve">na arena internacional, </w:t>
      </w:r>
      <w:r w:rsidR="000C406B" w:rsidRPr="00332D83">
        <w:rPr>
          <w:rFonts w:ascii="Times New Roman" w:hAnsi="Times New Roman" w:cs="Times New Roman"/>
          <w:sz w:val="24"/>
          <w:szCs w:val="24"/>
        </w:rPr>
        <w:t xml:space="preserve">sejam de natureza </w:t>
      </w:r>
      <w:r w:rsidRPr="00332D83">
        <w:rPr>
          <w:rFonts w:ascii="Times New Roman" w:hAnsi="Times New Roman" w:cs="Times New Roman"/>
          <w:sz w:val="24"/>
          <w:szCs w:val="24"/>
        </w:rPr>
        <w:t xml:space="preserve">econômica ou militar. Um exemplo desse segundo tipo de limitação </w:t>
      </w:r>
      <w:r w:rsidR="00E611B5">
        <w:rPr>
          <w:rFonts w:ascii="Times New Roman" w:hAnsi="Times New Roman" w:cs="Times New Roman"/>
          <w:sz w:val="24"/>
          <w:szCs w:val="24"/>
        </w:rPr>
        <w:t>é</w:t>
      </w:r>
      <w:r w:rsidRPr="00332D83">
        <w:rPr>
          <w:rFonts w:ascii="Times New Roman" w:hAnsi="Times New Roman" w:cs="Times New Roman"/>
          <w:sz w:val="24"/>
          <w:szCs w:val="24"/>
        </w:rPr>
        <w:t xml:space="preserve"> encontrado </w:t>
      </w:r>
      <w:r w:rsidR="000C406B" w:rsidRPr="00332D83">
        <w:rPr>
          <w:rFonts w:ascii="Times New Roman" w:hAnsi="Times New Roman" w:cs="Times New Roman"/>
          <w:sz w:val="24"/>
          <w:szCs w:val="24"/>
        </w:rPr>
        <w:t>na crise que envolveu o</w:t>
      </w:r>
      <w:r w:rsidRPr="00332D83">
        <w:rPr>
          <w:rFonts w:ascii="Times New Roman" w:hAnsi="Times New Roman" w:cs="Times New Roman"/>
          <w:sz w:val="24"/>
          <w:szCs w:val="24"/>
        </w:rPr>
        <w:t xml:space="preserve"> Canal de Suez em 1956. A Inglaterra se viu obrigada a retirar sua</w:t>
      </w:r>
      <w:r w:rsidR="000C406B" w:rsidRPr="00332D83">
        <w:rPr>
          <w:rFonts w:ascii="Times New Roman" w:hAnsi="Times New Roman" w:cs="Times New Roman"/>
          <w:sz w:val="24"/>
          <w:szCs w:val="24"/>
        </w:rPr>
        <w:t>s forças militares da região, então recém-</w:t>
      </w:r>
      <w:r w:rsidRPr="00332D83">
        <w:rPr>
          <w:rFonts w:ascii="Times New Roman" w:hAnsi="Times New Roman" w:cs="Times New Roman"/>
          <w:sz w:val="24"/>
          <w:szCs w:val="24"/>
        </w:rPr>
        <w:t xml:space="preserve">ocupada, </w:t>
      </w:r>
      <w:r w:rsidR="000C406B" w:rsidRPr="00332D83">
        <w:rPr>
          <w:rFonts w:ascii="Times New Roman" w:hAnsi="Times New Roman" w:cs="Times New Roman"/>
          <w:sz w:val="24"/>
          <w:szCs w:val="24"/>
        </w:rPr>
        <w:t>como resposta</w:t>
      </w:r>
      <w:r w:rsidRPr="00332D83">
        <w:rPr>
          <w:rFonts w:ascii="Times New Roman" w:hAnsi="Times New Roman" w:cs="Times New Roman"/>
          <w:sz w:val="24"/>
          <w:szCs w:val="24"/>
        </w:rPr>
        <w:t xml:space="preserve"> </w:t>
      </w:r>
      <w:r w:rsidR="000C406B" w:rsidRPr="00332D83">
        <w:rPr>
          <w:rFonts w:ascii="Times New Roman" w:hAnsi="Times New Roman" w:cs="Times New Roman"/>
          <w:sz w:val="24"/>
          <w:szCs w:val="24"/>
        </w:rPr>
        <w:t xml:space="preserve">à </w:t>
      </w:r>
      <w:r w:rsidRPr="00332D83">
        <w:rPr>
          <w:rFonts w:ascii="Times New Roman" w:hAnsi="Times New Roman" w:cs="Times New Roman"/>
          <w:sz w:val="24"/>
          <w:szCs w:val="24"/>
        </w:rPr>
        <w:t>ameaça dos Estados Unidos</w:t>
      </w:r>
      <w:r w:rsidR="000C406B" w:rsidRPr="00332D83">
        <w:rPr>
          <w:rFonts w:ascii="Times New Roman" w:hAnsi="Times New Roman" w:cs="Times New Roman"/>
          <w:sz w:val="24"/>
          <w:szCs w:val="24"/>
        </w:rPr>
        <w:t xml:space="preserve"> de, em caso contrário, desestabilizarem a moeda inglesa nos mercados de câmbio e, consequentemente, a economia doméstica inglesa (</w:t>
      </w:r>
      <w:r w:rsidR="00862EB5" w:rsidRPr="00332D83">
        <w:rPr>
          <w:rFonts w:ascii="Times New Roman" w:hAnsi="Times New Roman" w:cs="Times New Roman"/>
          <w:sz w:val="24"/>
          <w:szCs w:val="24"/>
        </w:rPr>
        <w:t>KIRSHNER,</w:t>
      </w:r>
      <w:r w:rsidR="000C406B" w:rsidRPr="00332D83">
        <w:rPr>
          <w:rFonts w:ascii="Times New Roman" w:hAnsi="Times New Roman" w:cs="Times New Roman"/>
          <w:sz w:val="24"/>
          <w:szCs w:val="24"/>
        </w:rPr>
        <w:t xml:space="preserve"> 1995). </w:t>
      </w:r>
      <w:r w:rsidR="003A2702" w:rsidRPr="00332D83">
        <w:rPr>
          <w:rFonts w:ascii="Times New Roman" w:hAnsi="Times New Roman" w:cs="Times New Roman"/>
          <w:sz w:val="24"/>
          <w:szCs w:val="24"/>
        </w:rPr>
        <w:t>Desse ponto de vista</w:t>
      </w:r>
      <w:r w:rsidR="009910CF" w:rsidRPr="00332D83">
        <w:rPr>
          <w:rFonts w:ascii="Times New Roman" w:hAnsi="Times New Roman" w:cs="Times New Roman"/>
          <w:sz w:val="24"/>
          <w:szCs w:val="24"/>
        </w:rPr>
        <w:t xml:space="preserve">, hegemonia monetária </w:t>
      </w:r>
      <w:r w:rsidR="00A70A34" w:rsidRPr="00332D83">
        <w:rPr>
          <w:rFonts w:ascii="Times New Roman" w:hAnsi="Times New Roman" w:cs="Times New Roman"/>
          <w:sz w:val="24"/>
          <w:szCs w:val="24"/>
        </w:rPr>
        <w:t>refere-se a</w:t>
      </w:r>
      <w:r w:rsidR="009910CF" w:rsidRPr="00332D83">
        <w:rPr>
          <w:rFonts w:ascii="Times New Roman" w:hAnsi="Times New Roman" w:cs="Times New Roman"/>
          <w:sz w:val="24"/>
          <w:szCs w:val="24"/>
        </w:rPr>
        <w:t xml:space="preserve"> um sistema político e econômico “</w:t>
      </w:r>
      <w:r w:rsidR="00360F11" w:rsidRPr="00332D83">
        <w:rPr>
          <w:rFonts w:ascii="Times New Roman" w:hAnsi="Times New Roman" w:cs="Times New Roman"/>
          <w:i/>
          <w:sz w:val="24"/>
          <w:szCs w:val="24"/>
        </w:rPr>
        <w:t>organized</w:t>
      </w:r>
      <w:r w:rsidR="003A2702" w:rsidRPr="00332D83">
        <w:rPr>
          <w:rFonts w:ascii="Times New Roman" w:hAnsi="Times New Roman" w:cs="Times New Roman"/>
          <w:i/>
          <w:sz w:val="24"/>
          <w:szCs w:val="24"/>
        </w:rPr>
        <w:t xml:space="preserve"> </w:t>
      </w:r>
      <w:r w:rsidR="00360F11" w:rsidRPr="00332D83">
        <w:rPr>
          <w:rFonts w:ascii="Times New Roman" w:hAnsi="Times New Roman" w:cs="Times New Roman"/>
          <w:i/>
          <w:sz w:val="24"/>
          <w:szCs w:val="24"/>
        </w:rPr>
        <w:t>around a single country with acknowledged responsibilities (and privileges) as leader</w:t>
      </w:r>
      <w:r w:rsidR="00360BE8" w:rsidRPr="00332D83">
        <w:rPr>
          <w:rFonts w:ascii="Times New Roman" w:hAnsi="Times New Roman" w:cs="Times New Roman"/>
          <w:i/>
          <w:sz w:val="24"/>
          <w:szCs w:val="24"/>
        </w:rPr>
        <w:t xml:space="preserve">” </w:t>
      </w:r>
      <w:r w:rsidR="00360BE8" w:rsidRPr="00332D83">
        <w:rPr>
          <w:rFonts w:ascii="Times New Roman" w:hAnsi="Times New Roman" w:cs="Times New Roman"/>
          <w:sz w:val="24"/>
          <w:szCs w:val="24"/>
        </w:rPr>
        <w:t>na esfera monetária (</w:t>
      </w:r>
      <w:r w:rsidR="00862EB5">
        <w:rPr>
          <w:rFonts w:ascii="Times New Roman" w:hAnsi="Times New Roman" w:cs="Times New Roman"/>
          <w:sz w:val="24"/>
          <w:szCs w:val="24"/>
        </w:rPr>
        <w:t>COHEN</w:t>
      </w:r>
      <w:r w:rsidR="00360F11" w:rsidRPr="00332D83">
        <w:rPr>
          <w:rFonts w:ascii="Times New Roman" w:hAnsi="Times New Roman" w:cs="Times New Roman"/>
          <w:sz w:val="24"/>
          <w:szCs w:val="24"/>
        </w:rPr>
        <w:t>, 1977</w:t>
      </w:r>
      <w:r w:rsidR="008E07C9" w:rsidRPr="00332D83">
        <w:rPr>
          <w:rFonts w:ascii="Times New Roman" w:hAnsi="Times New Roman" w:cs="Times New Roman"/>
          <w:sz w:val="24"/>
          <w:szCs w:val="24"/>
        </w:rPr>
        <w:t xml:space="preserve">: 9). </w:t>
      </w:r>
    </w:p>
    <w:p w:rsidR="00E74D64" w:rsidRPr="00CA5FBF" w:rsidRDefault="00E74D64" w:rsidP="00276F21">
      <w:pPr>
        <w:spacing w:line="240" w:lineRule="auto"/>
        <w:jc w:val="both"/>
        <w:rPr>
          <w:rFonts w:ascii="Times New Roman" w:hAnsi="Times New Roman" w:cs="Times New Roman"/>
          <w:b/>
          <w:sz w:val="24"/>
          <w:szCs w:val="24"/>
        </w:rPr>
      </w:pPr>
      <w:r w:rsidRPr="00CA5FBF">
        <w:rPr>
          <w:rFonts w:ascii="Times New Roman" w:hAnsi="Times New Roman" w:cs="Times New Roman"/>
          <w:b/>
          <w:sz w:val="24"/>
          <w:szCs w:val="24"/>
        </w:rPr>
        <w:lastRenderedPageBreak/>
        <w:t xml:space="preserve">A Supremacia </w:t>
      </w:r>
      <w:r w:rsidR="00430B37" w:rsidRPr="00CA5FBF">
        <w:rPr>
          <w:rFonts w:ascii="Times New Roman" w:hAnsi="Times New Roman" w:cs="Times New Roman"/>
          <w:b/>
          <w:sz w:val="24"/>
          <w:szCs w:val="24"/>
        </w:rPr>
        <w:t xml:space="preserve">Monetária </w:t>
      </w:r>
      <w:r w:rsidRPr="00CA5FBF">
        <w:rPr>
          <w:rFonts w:ascii="Times New Roman" w:hAnsi="Times New Roman" w:cs="Times New Roman"/>
          <w:b/>
          <w:sz w:val="24"/>
          <w:szCs w:val="24"/>
        </w:rPr>
        <w:t xml:space="preserve">Britânica </w:t>
      </w:r>
      <w:r w:rsidR="00430B37" w:rsidRPr="00CA5FBF">
        <w:rPr>
          <w:rFonts w:ascii="Times New Roman" w:hAnsi="Times New Roman" w:cs="Times New Roman"/>
          <w:b/>
          <w:sz w:val="24"/>
          <w:szCs w:val="24"/>
        </w:rPr>
        <w:t>durante o Padrão Ouro</w:t>
      </w:r>
      <w:r w:rsidR="00B438AA" w:rsidRPr="00CA5FBF">
        <w:rPr>
          <w:rFonts w:ascii="Times New Roman" w:hAnsi="Times New Roman" w:cs="Times New Roman"/>
          <w:b/>
          <w:sz w:val="24"/>
          <w:szCs w:val="24"/>
        </w:rPr>
        <w:t xml:space="preserve"> </w:t>
      </w:r>
    </w:p>
    <w:p w:rsidR="00E74D64" w:rsidRPr="00332D83" w:rsidRDefault="00E74D64"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Foi a partir das inovações introduzidas no início do século XVIII que Londres se </w:t>
      </w:r>
      <w:r w:rsidR="002E1529" w:rsidRPr="00332D83">
        <w:rPr>
          <w:rFonts w:ascii="Times New Roman" w:hAnsi="Times New Roman" w:cs="Times New Roman"/>
          <w:sz w:val="24"/>
          <w:szCs w:val="24"/>
        </w:rPr>
        <w:t>firmou como</w:t>
      </w:r>
      <w:r w:rsidRPr="00332D83">
        <w:rPr>
          <w:rFonts w:ascii="Times New Roman" w:hAnsi="Times New Roman" w:cs="Times New Roman"/>
          <w:sz w:val="24"/>
          <w:szCs w:val="24"/>
        </w:rPr>
        <w:t xml:space="preserve"> </w:t>
      </w:r>
      <w:r w:rsidR="002E1529" w:rsidRPr="00332D83">
        <w:rPr>
          <w:rFonts w:ascii="Times New Roman" w:hAnsi="Times New Roman" w:cs="Times New Roman"/>
          <w:sz w:val="24"/>
          <w:szCs w:val="24"/>
        </w:rPr>
        <w:t>principal praça</w:t>
      </w:r>
      <w:r w:rsidRPr="00332D83">
        <w:rPr>
          <w:rFonts w:ascii="Times New Roman" w:hAnsi="Times New Roman" w:cs="Times New Roman"/>
          <w:sz w:val="24"/>
          <w:szCs w:val="24"/>
        </w:rPr>
        <w:t xml:space="preserve"> financeir</w:t>
      </w:r>
      <w:r w:rsidR="002E1529" w:rsidRPr="00332D83">
        <w:rPr>
          <w:rFonts w:ascii="Times New Roman" w:hAnsi="Times New Roman" w:cs="Times New Roman"/>
          <w:sz w:val="24"/>
          <w:szCs w:val="24"/>
        </w:rPr>
        <w:t>a</w:t>
      </w:r>
      <w:r w:rsidRPr="00332D83">
        <w:rPr>
          <w:rFonts w:ascii="Times New Roman" w:hAnsi="Times New Roman" w:cs="Times New Roman"/>
          <w:sz w:val="24"/>
          <w:szCs w:val="24"/>
        </w:rPr>
        <w:t xml:space="preserve"> do mundo e a moeda inglesa adquiriu </w:t>
      </w:r>
      <w:r w:rsidR="001E2139" w:rsidRPr="00332D83">
        <w:rPr>
          <w:rFonts w:ascii="Times New Roman" w:hAnsi="Times New Roman" w:cs="Times New Roman"/>
          <w:sz w:val="24"/>
          <w:szCs w:val="24"/>
        </w:rPr>
        <w:t>centralidade</w:t>
      </w:r>
      <w:r w:rsidRPr="00332D83">
        <w:rPr>
          <w:rFonts w:ascii="Times New Roman" w:hAnsi="Times New Roman" w:cs="Times New Roman"/>
          <w:sz w:val="24"/>
          <w:szCs w:val="24"/>
        </w:rPr>
        <w:t xml:space="preserve"> </w:t>
      </w:r>
      <w:r w:rsidR="002E1529" w:rsidRPr="00332D83">
        <w:rPr>
          <w:rFonts w:ascii="Times New Roman" w:hAnsi="Times New Roman" w:cs="Times New Roman"/>
          <w:sz w:val="24"/>
          <w:szCs w:val="24"/>
        </w:rPr>
        <w:t>no</w:t>
      </w:r>
      <w:r w:rsidRPr="00332D83">
        <w:rPr>
          <w:rFonts w:ascii="Times New Roman" w:hAnsi="Times New Roman" w:cs="Times New Roman"/>
          <w:sz w:val="24"/>
          <w:szCs w:val="24"/>
        </w:rPr>
        <w:t xml:space="preserve"> sistema internacional. Entretanto, essa posição precisou espera</w:t>
      </w:r>
      <w:r w:rsidR="00373ACD" w:rsidRPr="00332D83">
        <w:rPr>
          <w:rFonts w:ascii="Times New Roman" w:hAnsi="Times New Roman" w:cs="Times New Roman"/>
          <w:sz w:val="24"/>
          <w:szCs w:val="24"/>
        </w:rPr>
        <w:t>r quase um século após</w:t>
      </w:r>
      <w:r w:rsidRPr="00332D83">
        <w:rPr>
          <w:rFonts w:ascii="Times New Roman" w:hAnsi="Times New Roman" w:cs="Times New Roman"/>
          <w:sz w:val="24"/>
          <w:szCs w:val="24"/>
        </w:rPr>
        <w:t xml:space="preserve"> a criação do </w:t>
      </w:r>
      <w:proofErr w:type="spellStart"/>
      <w:r w:rsidRPr="00332D83">
        <w:rPr>
          <w:rFonts w:ascii="Times New Roman" w:hAnsi="Times New Roman" w:cs="Times New Roman"/>
          <w:sz w:val="24"/>
          <w:szCs w:val="24"/>
        </w:rPr>
        <w:t>BoE</w:t>
      </w:r>
      <w:proofErr w:type="spellEnd"/>
      <w:r w:rsidRPr="00332D83">
        <w:rPr>
          <w:rFonts w:ascii="Times New Roman" w:hAnsi="Times New Roman" w:cs="Times New Roman"/>
          <w:sz w:val="24"/>
          <w:szCs w:val="24"/>
        </w:rPr>
        <w:t xml:space="preserve"> para ser alcançada. Durante todo o século XVIII, Londres e Amsterdã conviveram como os dois mais importantes centros financeiros do continente. Nesse período colaboração e competição </w:t>
      </w:r>
      <w:r w:rsidR="00610681" w:rsidRPr="00332D83">
        <w:rPr>
          <w:rFonts w:ascii="Times New Roman" w:hAnsi="Times New Roman" w:cs="Times New Roman"/>
          <w:sz w:val="24"/>
          <w:szCs w:val="24"/>
        </w:rPr>
        <w:t>estiveram presentes</w:t>
      </w:r>
      <w:r w:rsidRPr="00332D83">
        <w:rPr>
          <w:rFonts w:ascii="Times New Roman" w:hAnsi="Times New Roman" w:cs="Times New Roman"/>
          <w:sz w:val="24"/>
          <w:szCs w:val="24"/>
        </w:rPr>
        <w:t xml:space="preserve"> lado a lado. Os dois mercados desenvolveram um</w:t>
      </w:r>
      <w:r w:rsidR="001E2139" w:rsidRPr="00332D83">
        <w:rPr>
          <w:rFonts w:ascii="Times New Roman" w:hAnsi="Times New Roman" w:cs="Times New Roman"/>
          <w:sz w:val="24"/>
          <w:szCs w:val="24"/>
        </w:rPr>
        <w:t>a</w:t>
      </w:r>
      <w:r w:rsidRPr="00332D83">
        <w:rPr>
          <w:rFonts w:ascii="Times New Roman" w:hAnsi="Times New Roman" w:cs="Times New Roman"/>
          <w:sz w:val="24"/>
          <w:szCs w:val="24"/>
        </w:rPr>
        <w:t xml:space="preserve"> relação simbiótica proveitosa</w:t>
      </w:r>
      <w:r w:rsidR="001E2139" w:rsidRPr="00332D83">
        <w:rPr>
          <w:rFonts w:ascii="Times New Roman" w:hAnsi="Times New Roman" w:cs="Times New Roman"/>
          <w:sz w:val="24"/>
          <w:szCs w:val="24"/>
        </w:rPr>
        <w:t>,</w:t>
      </w:r>
      <w:r w:rsidRPr="00332D83">
        <w:rPr>
          <w:rFonts w:ascii="Times New Roman" w:hAnsi="Times New Roman" w:cs="Times New Roman"/>
          <w:sz w:val="24"/>
          <w:szCs w:val="24"/>
        </w:rPr>
        <w:t xml:space="preserve"> que durou seis décadas (1723-1783)</w:t>
      </w:r>
      <w:r w:rsidR="00610681" w:rsidRPr="00332D83">
        <w:rPr>
          <w:rFonts w:ascii="Times New Roman" w:hAnsi="Times New Roman" w:cs="Times New Roman"/>
          <w:sz w:val="24"/>
          <w:szCs w:val="24"/>
        </w:rPr>
        <w:t xml:space="preserve">, </w:t>
      </w:r>
      <w:r w:rsidR="001E2139" w:rsidRPr="00332D83">
        <w:rPr>
          <w:rFonts w:ascii="Times New Roman" w:hAnsi="Times New Roman" w:cs="Times New Roman"/>
          <w:sz w:val="24"/>
          <w:szCs w:val="24"/>
        </w:rPr>
        <w:t>mas foi</w:t>
      </w:r>
      <w:r w:rsidR="00610681" w:rsidRPr="00332D83">
        <w:rPr>
          <w:rFonts w:ascii="Times New Roman" w:hAnsi="Times New Roman" w:cs="Times New Roman"/>
          <w:sz w:val="24"/>
          <w:szCs w:val="24"/>
        </w:rPr>
        <w:t xml:space="preserve"> definitivamente </w:t>
      </w:r>
      <w:r w:rsidRPr="00332D83">
        <w:rPr>
          <w:rFonts w:ascii="Times New Roman" w:hAnsi="Times New Roman" w:cs="Times New Roman"/>
          <w:sz w:val="24"/>
          <w:szCs w:val="24"/>
        </w:rPr>
        <w:t>extin</w:t>
      </w:r>
      <w:r w:rsidR="00610681" w:rsidRPr="00332D83">
        <w:rPr>
          <w:rFonts w:ascii="Times New Roman" w:hAnsi="Times New Roman" w:cs="Times New Roman"/>
          <w:sz w:val="24"/>
          <w:szCs w:val="24"/>
        </w:rPr>
        <w:t>ta</w:t>
      </w:r>
      <w:r w:rsidRPr="00332D83">
        <w:rPr>
          <w:rFonts w:ascii="Times New Roman" w:hAnsi="Times New Roman" w:cs="Times New Roman"/>
          <w:sz w:val="24"/>
          <w:szCs w:val="24"/>
        </w:rPr>
        <w:t xml:space="preserve"> com a derrota de Napoleão em 1815. Só então </w:t>
      </w:r>
      <w:r w:rsidR="00373ACD" w:rsidRPr="00332D83">
        <w:rPr>
          <w:rFonts w:ascii="Times New Roman" w:hAnsi="Times New Roman" w:cs="Times New Roman"/>
          <w:sz w:val="24"/>
          <w:szCs w:val="24"/>
        </w:rPr>
        <w:t>a supremacia</w:t>
      </w:r>
      <w:r w:rsidRPr="00332D83">
        <w:rPr>
          <w:rFonts w:ascii="Times New Roman" w:hAnsi="Times New Roman" w:cs="Times New Roman"/>
          <w:sz w:val="24"/>
          <w:szCs w:val="24"/>
        </w:rPr>
        <w:t xml:space="preserve"> </w:t>
      </w:r>
      <w:r w:rsidR="0039320A" w:rsidRPr="00332D83">
        <w:rPr>
          <w:rFonts w:ascii="Times New Roman" w:hAnsi="Times New Roman" w:cs="Times New Roman"/>
          <w:sz w:val="24"/>
          <w:szCs w:val="24"/>
        </w:rPr>
        <w:t>inglesa</w:t>
      </w:r>
      <w:r w:rsidRPr="00332D83">
        <w:rPr>
          <w:rFonts w:ascii="Times New Roman" w:hAnsi="Times New Roman" w:cs="Times New Roman"/>
          <w:sz w:val="24"/>
          <w:szCs w:val="24"/>
        </w:rPr>
        <w:t xml:space="preserve"> nas finanç</w:t>
      </w:r>
      <w:r w:rsidR="005C4ECA">
        <w:rPr>
          <w:rFonts w:ascii="Times New Roman" w:hAnsi="Times New Roman" w:cs="Times New Roman"/>
          <w:sz w:val="24"/>
          <w:szCs w:val="24"/>
        </w:rPr>
        <w:t>as internacionais se consolidou.</w:t>
      </w:r>
    </w:p>
    <w:p w:rsidR="00E74D64" w:rsidRPr="00332D83" w:rsidRDefault="00E74D64"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Ao longo desse período, as duas cidades possuíam centros financeiros com características distintas</w:t>
      </w:r>
      <w:r w:rsidR="005C4ECA">
        <w:rPr>
          <w:rFonts w:ascii="Times New Roman" w:hAnsi="Times New Roman" w:cs="Times New Roman"/>
          <w:sz w:val="24"/>
          <w:szCs w:val="24"/>
        </w:rPr>
        <w:t xml:space="preserve"> (CARLOS e NEAL, 2011)</w:t>
      </w:r>
      <w:r w:rsidRPr="00332D83">
        <w:rPr>
          <w:rFonts w:ascii="Times New Roman" w:hAnsi="Times New Roman" w:cs="Times New Roman"/>
          <w:sz w:val="24"/>
          <w:szCs w:val="24"/>
        </w:rPr>
        <w:t>. Londres era dominante na negociação de letras de câmbio por agentes privados enquanto Amsterdã se destacava pelo sistema de pagamentos</w:t>
      </w:r>
      <w:r w:rsidR="00610681" w:rsidRPr="00332D83">
        <w:rPr>
          <w:rFonts w:ascii="Times New Roman" w:hAnsi="Times New Roman" w:cs="Times New Roman"/>
          <w:sz w:val="24"/>
          <w:szCs w:val="24"/>
        </w:rPr>
        <w:t>,</w:t>
      </w:r>
      <w:r w:rsidRPr="00332D83">
        <w:rPr>
          <w:rFonts w:ascii="Times New Roman" w:hAnsi="Times New Roman" w:cs="Times New Roman"/>
          <w:sz w:val="24"/>
          <w:szCs w:val="24"/>
        </w:rPr>
        <w:t xml:space="preserve"> baseado em um banco público. Na Inglaterra, as transações eram usualmente liquidadas com letras de câmbio </w:t>
      </w:r>
      <w:r w:rsidR="00610681" w:rsidRPr="00332D83">
        <w:rPr>
          <w:rFonts w:ascii="Times New Roman" w:hAnsi="Times New Roman" w:cs="Times New Roman"/>
          <w:sz w:val="24"/>
          <w:szCs w:val="24"/>
        </w:rPr>
        <w:t xml:space="preserve">sendo </w:t>
      </w:r>
      <w:r w:rsidRPr="00332D83">
        <w:rPr>
          <w:rFonts w:ascii="Times New Roman" w:hAnsi="Times New Roman" w:cs="Times New Roman"/>
          <w:sz w:val="24"/>
          <w:szCs w:val="24"/>
        </w:rPr>
        <w:t>transferidas de pessoa a pessoa por sucessivos endossos. Caso o proprietário desse título precisasse de dinheiro em espécie poderia vendê-lo no mercado secundário ou emitir n</w:t>
      </w:r>
      <w:r w:rsidR="00610681" w:rsidRPr="00332D83">
        <w:rPr>
          <w:rFonts w:ascii="Times New Roman" w:hAnsi="Times New Roman" w:cs="Times New Roman"/>
          <w:sz w:val="24"/>
          <w:szCs w:val="24"/>
        </w:rPr>
        <w:t>ovas letras em seu nome</w:t>
      </w:r>
      <w:r w:rsidRPr="00332D83">
        <w:rPr>
          <w:rFonts w:ascii="Times New Roman" w:hAnsi="Times New Roman" w:cs="Times New Roman"/>
          <w:sz w:val="24"/>
          <w:szCs w:val="24"/>
        </w:rPr>
        <w:t>. Na Holanda, diferentemente, os negócios eram pagos por meio da transferência de depósitos junto ao Banco de Amsterdã. Londres sediava uma importante bolsa de valores, em que corretoras atuavam ativamente na compra e venda de ações. Na Holanda, os bancos de negócios (</w:t>
      </w:r>
      <w:proofErr w:type="spellStart"/>
      <w:r w:rsidRPr="00332D83">
        <w:rPr>
          <w:rFonts w:ascii="Times New Roman" w:hAnsi="Times New Roman" w:cs="Times New Roman"/>
          <w:i/>
          <w:sz w:val="24"/>
          <w:szCs w:val="24"/>
        </w:rPr>
        <w:t>merchants</w:t>
      </w:r>
      <w:proofErr w:type="spellEnd"/>
      <w:r w:rsidRPr="00332D83">
        <w:rPr>
          <w:rFonts w:ascii="Times New Roman" w:hAnsi="Times New Roman" w:cs="Times New Roman"/>
          <w:i/>
          <w:sz w:val="24"/>
          <w:szCs w:val="24"/>
        </w:rPr>
        <w:t xml:space="preserve"> </w:t>
      </w:r>
      <w:proofErr w:type="spellStart"/>
      <w:r w:rsidRPr="00332D83">
        <w:rPr>
          <w:rFonts w:ascii="Times New Roman" w:hAnsi="Times New Roman" w:cs="Times New Roman"/>
          <w:i/>
          <w:sz w:val="24"/>
          <w:szCs w:val="24"/>
        </w:rPr>
        <w:t>banks</w:t>
      </w:r>
      <w:proofErr w:type="spellEnd"/>
      <w:r w:rsidRPr="00332D83">
        <w:rPr>
          <w:rFonts w:ascii="Times New Roman" w:hAnsi="Times New Roman" w:cs="Times New Roman"/>
          <w:i/>
          <w:sz w:val="24"/>
          <w:szCs w:val="24"/>
        </w:rPr>
        <w:t>)</w:t>
      </w:r>
      <w:r w:rsidRPr="00332D83">
        <w:rPr>
          <w:rFonts w:ascii="Times New Roman" w:hAnsi="Times New Roman" w:cs="Times New Roman"/>
          <w:sz w:val="24"/>
          <w:szCs w:val="24"/>
        </w:rPr>
        <w:t xml:space="preserve"> tinham um papel dominante.  </w:t>
      </w:r>
    </w:p>
    <w:p w:rsidR="00E74D64" w:rsidRPr="00332D83" w:rsidRDefault="00E74D64"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Na prática esse</w:t>
      </w:r>
      <w:r w:rsidR="007473B4" w:rsidRPr="00332D83">
        <w:rPr>
          <w:rFonts w:ascii="Times New Roman" w:hAnsi="Times New Roman" w:cs="Times New Roman"/>
          <w:sz w:val="24"/>
          <w:szCs w:val="24"/>
        </w:rPr>
        <w:t>s</w:t>
      </w:r>
      <w:r w:rsidRPr="00332D83">
        <w:rPr>
          <w:rFonts w:ascii="Times New Roman" w:hAnsi="Times New Roman" w:cs="Times New Roman"/>
          <w:sz w:val="24"/>
          <w:szCs w:val="24"/>
        </w:rPr>
        <w:t xml:space="preserve"> dois mercados operavam integradamente. Os bancos e os capitais holandeses, por exemplo, eram investidores relevantes em ações em Londres. Ao mesmo tempo, ações de empresas inglesas eram utilizadas como garantia para empréstimos </w:t>
      </w:r>
      <w:r w:rsidR="00610681" w:rsidRPr="00332D83">
        <w:rPr>
          <w:rFonts w:ascii="Times New Roman" w:hAnsi="Times New Roman" w:cs="Times New Roman"/>
          <w:sz w:val="24"/>
          <w:szCs w:val="24"/>
        </w:rPr>
        <w:t xml:space="preserve">concedidos </w:t>
      </w:r>
      <w:r w:rsidRPr="00332D83">
        <w:rPr>
          <w:rFonts w:ascii="Times New Roman" w:hAnsi="Times New Roman" w:cs="Times New Roman"/>
          <w:sz w:val="24"/>
          <w:szCs w:val="24"/>
        </w:rPr>
        <w:t xml:space="preserve">em Amsterdã. As duas cidades proviam serviços de liquidação de pagamentos internacionais. Entretanto, rapidamente o </w:t>
      </w:r>
      <w:proofErr w:type="spellStart"/>
      <w:r w:rsidRPr="00332D83">
        <w:rPr>
          <w:rFonts w:ascii="Times New Roman" w:hAnsi="Times New Roman" w:cs="Times New Roman"/>
          <w:sz w:val="24"/>
          <w:szCs w:val="24"/>
        </w:rPr>
        <w:t>BoE</w:t>
      </w:r>
      <w:proofErr w:type="spellEnd"/>
      <w:r w:rsidRPr="00332D83">
        <w:rPr>
          <w:rFonts w:ascii="Times New Roman" w:hAnsi="Times New Roman" w:cs="Times New Roman"/>
          <w:sz w:val="24"/>
          <w:szCs w:val="24"/>
        </w:rPr>
        <w:t xml:space="preserve"> se tornou mais importante nessa atividade, uma vez que os depósitos no Banco de Amsterdã deixaram de ser conversíveis em 1700. Com a derrota de Napoleão em 1815, a Holanda perdeu definitivamente relevância financeira frente à Inglaterra. O desaparecimento de Amsterdã como competidor não levou, no entanto, Londres a assumir uma posição incontestável no cenário financeiro europeu. </w:t>
      </w:r>
    </w:p>
    <w:p w:rsidR="00A76238" w:rsidRPr="00332D83" w:rsidRDefault="00E74D64"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A restauração da monarquia francesa após a queda de Napoleão abriu mercado para os ingleses financiarem o pagamento das reparações de guerra da França e </w:t>
      </w:r>
      <w:r w:rsidR="00A76238" w:rsidRPr="00332D83">
        <w:rPr>
          <w:rFonts w:ascii="Times New Roman" w:hAnsi="Times New Roman" w:cs="Times New Roman"/>
          <w:sz w:val="24"/>
          <w:szCs w:val="24"/>
        </w:rPr>
        <w:t xml:space="preserve">de </w:t>
      </w:r>
      <w:r w:rsidRPr="00332D83">
        <w:rPr>
          <w:rFonts w:ascii="Times New Roman" w:hAnsi="Times New Roman" w:cs="Times New Roman"/>
          <w:sz w:val="24"/>
          <w:szCs w:val="24"/>
        </w:rPr>
        <w:t xml:space="preserve">outros países na Europa. As independências latino-americanas também </w:t>
      </w:r>
      <w:r w:rsidR="007473B4" w:rsidRPr="00332D83">
        <w:rPr>
          <w:rFonts w:ascii="Times New Roman" w:hAnsi="Times New Roman" w:cs="Times New Roman"/>
          <w:sz w:val="24"/>
          <w:szCs w:val="24"/>
        </w:rPr>
        <w:t>constituíram importantes</w:t>
      </w:r>
      <w:r w:rsidRPr="00332D83">
        <w:rPr>
          <w:rFonts w:ascii="Times New Roman" w:hAnsi="Times New Roman" w:cs="Times New Roman"/>
          <w:sz w:val="24"/>
          <w:szCs w:val="24"/>
        </w:rPr>
        <w:t xml:space="preserve"> oportunidades de negócios a partir de 1820. Entretanto, o colapso dos mercados de títulos públicos estrangeiros em 1825 e 1826 levou </w:t>
      </w:r>
      <w:r w:rsidR="00EA7C98" w:rsidRPr="00332D83">
        <w:rPr>
          <w:rFonts w:ascii="Times New Roman" w:hAnsi="Times New Roman" w:cs="Times New Roman"/>
          <w:sz w:val="24"/>
          <w:szCs w:val="24"/>
        </w:rPr>
        <w:t>a City</w:t>
      </w:r>
      <w:r w:rsidRPr="00332D83">
        <w:rPr>
          <w:rFonts w:ascii="Times New Roman" w:hAnsi="Times New Roman" w:cs="Times New Roman"/>
          <w:sz w:val="24"/>
          <w:szCs w:val="24"/>
        </w:rPr>
        <w:t xml:space="preserve"> a se focar no crédito ao comercio internacional e em operações nos Estados Unidos, principalmente no setor ferroviário. </w:t>
      </w:r>
      <w:r w:rsidR="00A76238" w:rsidRPr="00332D83">
        <w:rPr>
          <w:rFonts w:ascii="Times New Roman" w:hAnsi="Times New Roman" w:cs="Times New Roman"/>
          <w:sz w:val="24"/>
          <w:szCs w:val="24"/>
        </w:rPr>
        <w:t>Durante a crise da dívida latino-americana</w:t>
      </w:r>
      <w:r w:rsidRPr="00332D83">
        <w:rPr>
          <w:rFonts w:ascii="Times New Roman" w:hAnsi="Times New Roman" w:cs="Times New Roman"/>
          <w:sz w:val="24"/>
          <w:szCs w:val="24"/>
        </w:rPr>
        <w:t xml:space="preserve">, o apoio do Banco do França ao </w:t>
      </w:r>
      <w:proofErr w:type="spellStart"/>
      <w:r w:rsidRPr="00332D83">
        <w:rPr>
          <w:rFonts w:ascii="Times New Roman" w:hAnsi="Times New Roman" w:cs="Times New Roman"/>
          <w:sz w:val="24"/>
          <w:szCs w:val="24"/>
        </w:rPr>
        <w:t>BoE</w:t>
      </w:r>
      <w:proofErr w:type="spellEnd"/>
      <w:r w:rsidRPr="00332D83">
        <w:rPr>
          <w:rFonts w:ascii="Times New Roman" w:hAnsi="Times New Roman" w:cs="Times New Roman"/>
          <w:sz w:val="24"/>
          <w:szCs w:val="24"/>
        </w:rPr>
        <w:t xml:space="preserve"> foi essencial para sustentar a conversibilidade da libra em ouro. Essa cooperação foi retomada na década de 1830</w:t>
      </w:r>
      <w:r w:rsidR="007473B4" w:rsidRPr="00332D83">
        <w:rPr>
          <w:rFonts w:ascii="Times New Roman" w:hAnsi="Times New Roman" w:cs="Times New Roman"/>
          <w:sz w:val="24"/>
          <w:szCs w:val="24"/>
        </w:rPr>
        <w:t xml:space="preserve">, </w:t>
      </w:r>
      <w:r w:rsidRPr="00332D83">
        <w:rPr>
          <w:rFonts w:ascii="Times New Roman" w:hAnsi="Times New Roman" w:cs="Times New Roman"/>
          <w:sz w:val="24"/>
          <w:szCs w:val="24"/>
        </w:rPr>
        <w:t>em duas outras oportunidades</w:t>
      </w:r>
      <w:r w:rsidR="00A76238" w:rsidRPr="00332D83">
        <w:rPr>
          <w:rFonts w:ascii="Times New Roman" w:hAnsi="Times New Roman" w:cs="Times New Roman"/>
          <w:sz w:val="24"/>
          <w:szCs w:val="24"/>
        </w:rPr>
        <w:t xml:space="preserve"> ao longo do século XIX</w:t>
      </w:r>
      <w:r w:rsidR="007473B4" w:rsidRPr="00332D83">
        <w:rPr>
          <w:rFonts w:ascii="Times New Roman" w:hAnsi="Times New Roman" w:cs="Times New Roman"/>
          <w:sz w:val="24"/>
          <w:szCs w:val="24"/>
        </w:rPr>
        <w:t xml:space="preserve"> e novamente </w:t>
      </w:r>
      <w:r w:rsidR="00A76238" w:rsidRPr="00332D83">
        <w:rPr>
          <w:rFonts w:ascii="Times New Roman" w:hAnsi="Times New Roman" w:cs="Times New Roman"/>
          <w:sz w:val="24"/>
          <w:szCs w:val="24"/>
        </w:rPr>
        <w:t xml:space="preserve">na crise de 1907. </w:t>
      </w:r>
      <w:r w:rsidRPr="00332D83">
        <w:rPr>
          <w:rFonts w:ascii="Times New Roman" w:hAnsi="Times New Roman" w:cs="Times New Roman"/>
          <w:sz w:val="24"/>
          <w:szCs w:val="24"/>
        </w:rPr>
        <w:t xml:space="preserve">A Inglaterra </w:t>
      </w:r>
      <w:r w:rsidR="00373ACD" w:rsidRPr="00332D83">
        <w:rPr>
          <w:rFonts w:ascii="Times New Roman" w:hAnsi="Times New Roman" w:cs="Times New Roman"/>
          <w:sz w:val="24"/>
          <w:szCs w:val="24"/>
        </w:rPr>
        <w:t xml:space="preserve">durante </w:t>
      </w:r>
      <w:r w:rsidRPr="00332D83">
        <w:rPr>
          <w:rFonts w:ascii="Times New Roman" w:hAnsi="Times New Roman" w:cs="Times New Roman"/>
          <w:sz w:val="24"/>
          <w:szCs w:val="24"/>
        </w:rPr>
        <w:t xml:space="preserve">todo o século XIX e início do XX manteve um nível relativamente baixo de resevas de ouro e as utilizou </w:t>
      </w:r>
      <w:r w:rsidR="00610681" w:rsidRPr="00332D83">
        <w:rPr>
          <w:rFonts w:ascii="Times New Roman" w:hAnsi="Times New Roman" w:cs="Times New Roman"/>
          <w:sz w:val="24"/>
          <w:szCs w:val="24"/>
        </w:rPr>
        <w:t>apenas</w:t>
      </w:r>
      <w:r w:rsidRPr="00332D83">
        <w:rPr>
          <w:rFonts w:ascii="Times New Roman" w:hAnsi="Times New Roman" w:cs="Times New Roman"/>
          <w:sz w:val="24"/>
          <w:szCs w:val="24"/>
        </w:rPr>
        <w:t xml:space="preserve"> para garantir a liquidez externa do sua </w:t>
      </w:r>
      <w:r w:rsidR="00A76238" w:rsidRPr="00332D83">
        <w:rPr>
          <w:rFonts w:ascii="Times New Roman" w:hAnsi="Times New Roman" w:cs="Times New Roman"/>
          <w:sz w:val="24"/>
          <w:szCs w:val="24"/>
        </w:rPr>
        <w:t xml:space="preserve">própria </w:t>
      </w:r>
      <w:r w:rsidRPr="00332D83">
        <w:rPr>
          <w:rFonts w:ascii="Times New Roman" w:hAnsi="Times New Roman" w:cs="Times New Roman"/>
          <w:sz w:val="24"/>
          <w:szCs w:val="24"/>
        </w:rPr>
        <w:t>moeda</w:t>
      </w:r>
      <w:r w:rsidR="00A76238" w:rsidRPr="00332D83">
        <w:rPr>
          <w:rFonts w:ascii="Times New Roman" w:hAnsi="Times New Roman" w:cs="Times New Roman"/>
          <w:sz w:val="24"/>
          <w:szCs w:val="24"/>
        </w:rPr>
        <w:t xml:space="preserve"> e n</w:t>
      </w:r>
      <w:r w:rsidRPr="00332D83">
        <w:rPr>
          <w:rFonts w:ascii="Times New Roman" w:hAnsi="Times New Roman" w:cs="Times New Roman"/>
          <w:sz w:val="24"/>
          <w:szCs w:val="24"/>
        </w:rPr>
        <w:t xml:space="preserve">unca como um instrumento de estabilização de terceiros países. </w:t>
      </w:r>
      <w:r w:rsidR="00A76238" w:rsidRPr="00332D83">
        <w:rPr>
          <w:rFonts w:ascii="Times New Roman" w:hAnsi="Times New Roman" w:cs="Times New Roman"/>
          <w:sz w:val="24"/>
          <w:szCs w:val="24"/>
        </w:rPr>
        <w:t xml:space="preserve">Apesar de o mercado privado londrino ser o mais importante, o </w:t>
      </w:r>
      <w:proofErr w:type="spellStart"/>
      <w:r w:rsidR="00A76238" w:rsidRPr="00332D83">
        <w:rPr>
          <w:rFonts w:ascii="Times New Roman" w:hAnsi="Times New Roman" w:cs="Times New Roman"/>
          <w:sz w:val="24"/>
          <w:szCs w:val="24"/>
        </w:rPr>
        <w:t>BoE</w:t>
      </w:r>
      <w:proofErr w:type="spellEnd"/>
      <w:r w:rsidR="00A76238" w:rsidRPr="00332D83">
        <w:rPr>
          <w:rFonts w:ascii="Times New Roman" w:hAnsi="Times New Roman" w:cs="Times New Roman"/>
          <w:sz w:val="24"/>
          <w:szCs w:val="24"/>
        </w:rPr>
        <w:t xml:space="preserve"> não operou como um banco de outros bancos centrais do sistema financeiro internacional</w:t>
      </w:r>
      <w:r w:rsidR="007473B4" w:rsidRPr="00332D83">
        <w:rPr>
          <w:rFonts w:ascii="Times New Roman" w:hAnsi="Times New Roman" w:cs="Times New Roman"/>
          <w:sz w:val="24"/>
          <w:szCs w:val="24"/>
        </w:rPr>
        <w:t xml:space="preserve"> durante o período do padrão ouro</w:t>
      </w:r>
      <w:r w:rsidR="00A76238" w:rsidRPr="00332D83">
        <w:rPr>
          <w:rFonts w:ascii="Times New Roman" w:hAnsi="Times New Roman" w:cs="Times New Roman"/>
          <w:sz w:val="24"/>
          <w:szCs w:val="24"/>
        </w:rPr>
        <w:t>.</w:t>
      </w:r>
    </w:p>
    <w:p w:rsidR="00E74D64" w:rsidRPr="00332D83" w:rsidRDefault="00E74D64" w:rsidP="00276F21">
      <w:pPr>
        <w:spacing w:line="240" w:lineRule="auto"/>
        <w:jc w:val="both"/>
        <w:rPr>
          <w:rFonts w:ascii="Times New Roman" w:hAnsi="Times New Roman" w:cs="Times New Roman"/>
          <w:sz w:val="24"/>
          <w:szCs w:val="24"/>
          <w:lang w:val="en-US"/>
        </w:rPr>
      </w:pPr>
      <w:r w:rsidRPr="00332D83">
        <w:rPr>
          <w:rFonts w:ascii="Times New Roman" w:hAnsi="Times New Roman" w:cs="Times New Roman"/>
          <w:sz w:val="24"/>
          <w:szCs w:val="24"/>
        </w:rPr>
        <w:lastRenderedPageBreak/>
        <w:t>Por mais de um século, Londres ocup</w:t>
      </w:r>
      <w:r w:rsidR="00A76238" w:rsidRPr="00332D83">
        <w:rPr>
          <w:rFonts w:ascii="Times New Roman" w:hAnsi="Times New Roman" w:cs="Times New Roman"/>
          <w:sz w:val="24"/>
          <w:szCs w:val="24"/>
        </w:rPr>
        <w:t>ou</w:t>
      </w:r>
      <w:r w:rsidRPr="00332D83">
        <w:rPr>
          <w:rFonts w:ascii="Times New Roman" w:hAnsi="Times New Roman" w:cs="Times New Roman"/>
          <w:sz w:val="24"/>
          <w:szCs w:val="24"/>
        </w:rPr>
        <w:t xml:space="preserve"> a posição de principal praça do sistema </w:t>
      </w:r>
      <w:r w:rsidR="00310F85" w:rsidRPr="00332D83">
        <w:rPr>
          <w:rFonts w:ascii="Times New Roman" w:hAnsi="Times New Roman" w:cs="Times New Roman"/>
          <w:sz w:val="24"/>
          <w:szCs w:val="24"/>
        </w:rPr>
        <w:t>financeiro internacional. Era o</w:t>
      </w:r>
      <w:r w:rsidRPr="00332D83">
        <w:rPr>
          <w:rFonts w:ascii="Times New Roman" w:hAnsi="Times New Roman" w:cs="Times New Roman"/>
          <w:sz w:val="24"/>
          <w:szCs w:val="24"/>
        </w:rPr>
        <w:t xml:space="preserve"> centro responsável pela emissão da moeda reserva mais importante, pela maior parte das liquidações internacionais e pela maioria das emiss</w:t>
      </w:r>
      <w:r w:rsidR="00A76238" w:rsidRPr="00332D83">
        <w:rPr>
          <w:rFonts w:ascii="Times New Roman" w:hAnsi="Times New Roman" w:cs="Times New Roman"/>
          <w:sz w:val="24"/>
          <w:szCs w:val="24"/>
        </w:rPr>
        <w:t>ões</w:t>
      </w:r>
      <w:r w:rsidRPr="00332D83">
        <w:rPr>
          <w:rFonts w:ascii="Times New Roman" w:hAnsi="Times New Roman" w:cs="Times New Roman"/>
          <w:sz w:val="24"/>
          <w:szCs w:val="24"/>
        </w:rPr>
        <w:t xml:space="preserve"> de dívidas de governos e </w:t>
      </w:r>
      <w:r w:rsidR="00A76238" w:rsidRPr="00332D83">
        <w:rPr>
          <w:rFonts w:ascii="Times New Roman" w:hAnsi="Times New Roman" w:cs="Times New Roman"/>
          <w:sz w:val="24"/>
          <w:szCs w:val="24"/>
        </w:rPr>
        <w:t xml:space="preserve">de </w:t>
      </w:r>
      <w:r w:rsidRPr="00332D83">
        <w:rPr>
          <w:rFonts w:ascii="Times New Roman" w:hAnsi="Times New Roman" w:cs="Times New Roman"/>
          <w:sz w:val="24"/>
          <w:szCs w:val="24"/>
        </w:rPr>
        <w:t xml:space="preserve">empresas de outros países. Esse papel foi seguido de perto, em várias oportunidades, por </w:t>
      </w:r>
      <w:r w:rsidR="00507C60" w:rsidRPr="00332D83">
        <w:rPr>
          <w:rFonts w:ascii="Times New Roman" w:hAnsi="Times New Roman" w:cs="Times New Roman"/>
          <w:sz w:val="24"/>
          <w:szCs w:val="24"/>
        </w:rPr>
        <w:t xml:space="preserve">outros centros financeiros </w:t>
      </w:r>
      <w:r w:rsidRPr="00332D83">
        <w:rPr>
          <w:rFonts w:ascii="Times New Roman" w:hAnsi="Times New Roman" w:cs="Times New Roman"/>
          <w:sz w:val="24"/>
          <w:szCs w:val="24"/>
        </w:rPr>
        <w:t xml:space="preserve">do continente. Paris, particularmente durante o Segundo Império de Napoleão III (1851-1872), deteve algumas vantagens competitivas frente à Inglaterra. A França tinha uma conta corrente desfavorável com seus parceiros continentais e ao mesmo tempo era superavitária com os ingleses, que tinham déficit com o resto da Europa. </w:t>
      </w:r>
      <w:r w:rsidR="00862EB5">
        <w:rPr>
          <w:rFonts w:ascii="Times New Roman" w:hAnsi="Times New Roman" w:cs="Times New Roman"/>
          <w:sz w:val="24"/>
          <w:szCs w:val="24"/>
          <w:lang w:val="en-US"/>
        </w:rPr>
        <w:t>Segundo Plessis:</w:t>
      </w:r>
      <w:r w:rsidR="005C4ECA">
        <w:rPr>
          <w:rFonts w:ascii="Times New Roman" w:hAnsi="Times New Roman" w:cs="Times New Roman"/>
          <w:sz w:val="24"/>
          <w:szCs w:val="24"/>
          <w:lang w:val="en-US"/>
        </w:rPr>
        <w:t xml:space="preserve"> </w:t>
      </w:r>
      <w:r w:rsidRPr="00332D83">
        <w:rPr>
          <w:rFonts w:ascii="Times New Roman" w:hAnsi="Times New Roman" w:cs="Times New Roman"/>
          <w:sz w:val="24"/>
          <w:szCs w:val="24"/>
          <w:lang w:val="en-US"/>
        </w:rPr>
        <w:t>“</w:t>
      </w:r>
      <w:r w:rsidRPr="00332D83">
        <w:rPr>
          <w:rFonts w:ascii="Times New Roman" w:hAnsi="Times New Roman" w:cs="Times New Roman"/>
          <w:i/>
          <w:sz w:val="24"/>
          <w:szCs w:val="24"/>
          <w:lang w:val="en-US"/>
        </w:rPr>
        <w:t>That situation imposed the franc as the continental reserve and settlement currency, which meant that Paris could play an important part as a clearing centre, be the leading exchange market in Europe, and play a key part in world payments</w:t>
      </w:r>
      <w:r w:rsidRPr="00332D83">
        <w:rPr>
          <w:rFonts w:ascii="Times New Roman" w:hAnsi="Times New Roman" w:cs="Times New Roman"/>
          <w:sz w:val="24"/>
          <w:szCs w:val="24"/>
          <w:lang w:val="en-US"/>
        </w:rPr>
        <w:t>”.</w:t>
      </w:r>
      <w:r w:rsidR="00862EB5" w:rsidRPr="00862EB5">
        <w:rPr>
          <w:rFonts w:ascii="Times New Roman" w:hAnsi="Times New Roman" w:cs="Times New Roman"/>
          <w:sz w:val="24"/>
          <w:szCs w:val="24"/>
          <w:lang w:val="en-US"/>
        </w:rPr>
        <w:t xml:space="preserve"> </w:t>
      </w:r>
      <w:r w:rsidR="00862EB5">
        <w:rPr>
          <w:rFonts w:ascii="Times New Roman" w:hAnsi="Times New Roman" w:cs="Times New Roman"/>
          <w:sz w:val="24"/>
          <w:szCs w:val="24"/>
          <w:lang w:val="en-US"/>
        </w:rPr>
        <w:t>(</w:t>
      </w:r>
      <w:r w:rsidR="00862EB5" w:rsidRPr="00332D83">
        <w:rPr>
          <w:rFonts w:ascii="Times New Roman" w:hAnsi="Times New Roman" w:cs="Times New Roman"/>
          <w:sz w:val="24"/>
          <w:szCs w:val="24"/>
          <w:lang w:val="en-US"/>
        </w:rPr>
        <w:t>PLESSIS (2005: 42):</w:t>
      </w:r>
    </w:p>
    <w:p w:rsidR="00E74D64" w:rsidRPr="00E16843" w:rsidRDefault="00310F85"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Com a </w:t>
      </w:r>
      <w:r w:rsidR="00E74D64" w:rsidRPr="00332D83">
        <w:rPr>
          <w:rFonts w:ascii="Times New Roman" w:hAnsi="Times New Roman" w:cs="Times New Roman"/>
          <w:sz w:val="24"/>
          <w:szCs w:val="24"/>
        </w:rPr>
        <w:t xml:space="preserve">derrota </w:t>
      </w:r>
      <w:r w:rsidRPr="00332D83">
        <w:rPr>
          <w:rFonts w:ascii="Times New Roman" w:hAnsi="Times New Roman" w:cs="Times New Roman"/>
          <w:sz w:val="24"/>
          <w:szCs w:val="24"/>
        </w:rPr>
        <w:t>francesa</w:t>
      </w:r>
      <w:r w:rsidR="00E74D64" w:rsidRPr="00332D83">
        <w:rPr>
          <w:rFonts w:ascii="Times New Roman" w:hAnsi="Times New Roman" w:cs="Times New Roman"/>
          <w:sz w:val="24"/>
          <w:szCs w:val="24"/>
        </w:rPr>
        <w:t xml:space="preserve"> frente aos prussianos em 1870</w:t>
      </w:r>
      <w:r w:rsidRPr="00332D83">
        <w:rPr>
          <w:rFonts w:ascii="Times New Roman" w:hAnsi="Times New Roman" w:cs="Times New Roman"/>
          <w:sz w:val="24"/>
          <w:szCs w:val="24"/>
        </w:rPr>
        <w:t xml:space="preserve">, Paris perdeu </w:t>
      </w:r>
      <w:r w:rsidR="007C0ADF" w:rsidRPr="00332D83">
        <w:rPr>
          <w:rFonts w:ascii="Times New Roman" w:hAnsi="Times New Roman" w:cs="Times New Roman"/>
          <w:sz w:val="24"/>
          <w:szCs w:val="24"/>
        </w:rPr>
        <w:t>relevância</w:t>
      </w:r>
      <w:r w:rsidR="00E74D64" w:rsidRPr="00332D83">
        <w:rPr>
          <w:rFonts w:ascii="Times New Roman" w:hAnsi="Times New Roman" w:cs="Times New Roman"/>
          <w:sz w:val="24"/>
          <w:szCs w:val="24"/>
        </w:rPr>
        <w:t xml:space="preserve">. A suspensão da conversibilidade do franco em ouro reduziu o interesse dos negócios internacionais em liquidar suas operações na França. </w:t>
      </w:r>
      <w:proofErr w:type="spellStart"/>
      <w:r w:rsidR="00E74D64" w:rsidRPr="00332D83">
        <w:rPr>
          <w:rFonts w:ascii="Times New Roman" w:hAnsi="Times New Roman" w:cs="Times New Roman"/>
          <w:sz w:val="24"/>
          <w:szCs w:val="24"/>
          <w:lang w:val="en-US"/>
        </w:rPr>
        <w:t>Sobre</w:t>
      </w:r>
      <w:proofErr w:type="spellEnd"/>
      <w:r w:rsidR="00E74D64" w:rsidRPr="00332D83">
        <w:rPr>
          <w:rFonts w:ascii="Times New Roman" w:hAnsi="Times New Roman" w:cs="Times New Roman"/>
          <w:sz w:val="24"/>
          <w:szCs w:val="24"/>
          <w:lang w:val="en-US"/>
        </w:rPr>
        <w:t xml:space="preserve"> </w:t>
      </w:r>
      <w:proofErr w:type="spellStart"/>
      <w:r w:rsidR="00E74D64" w:rsidRPr="00332D83">
        <w:rPr>
          <w:rFonts w:ascii="Times New Roman" w:hAnsi="Times New Roman" w:cs="Times New Roman"/>
          <w:sz w:val="24"/>
          <w:szCs w:val="24"/>
          <w:lang w:val="en-US"/>
        </w:rPr>
        <w:t>esse</w:t>
      </w:r>
      <w:proofErr w:type="spellEnd"/>
      <w:r w:rsidR="00E74D64" w:rsidRPr="00332D83">
        <w:rPr>
          <w:rFonts w:ascii="Times New Roman" w:hAnsi="Times New Roman" w:cs="Times New Roman"/>
          <w:sz w:val="24"/>
          <w:szCs w:val="24"/>
          <w:lang w:val="en-US"/>
        </w:rPr>
        <w:t xml:space="preserve"> </w:t>
      </w:r>
      <w:proofErr w:type="spellStart"/>
      <w:r w:rsidR="00E74D64" w:rsidRPr="00332D83">
        <w:rPr>
          <w:rFonts w:ascii="Times New Roman" w:hAnsi="Times New Roman" w:cs="Times New Roman"/>
          <w:sz w:val="24"/>
          <w:szCs w:val="24"/>
          <w:lang w:val="en-US"/>
        </w:rPr>
        <w:t>fato</w:t>
      </w:r>
      <w:proofErr w:type="spellEnd"/>
      <w:r w:rsidR="00E74D64" w:rsidRPr="00332D83">
        <w:rPr>
          <w:rFonts w:ascii="Times New Roman" w:hAnsi="Times New Roman" w:cs="Times New Roman"/>
          <w:sz w:val="24"/>
          <w:szCs w:val="24"/>
          <w:lang w:val="en-US"/>
        </w:rPr>
        <w:t xml:space="preserve">, Bagehot </w:t>
      </w:r>
      <w:proofErr w:type="spellStart"/>
      <w:r w:rsidR="00CC5C14" w:rsidRPr="00332D83">
        <w:rPr>
          <w:rFonts w:ascii="Times New Roman" w:hAnsi="Times New Roman" w:cs="Times New Roman"/>
          <w:sz w:val="24"/>
          <w:szCs w:val="24"/>
          <w:lang w:val="en-US"/>
        </w:rPr>
        <w:t>comentou</w:t>
      </w:r>
      <w:proofErr w:type="spellEnd"/>
      <w:r w:rsidR="00CC5C14" w:rsidRPr="00332D83">
        <w:rPr>
          <w:rFonts w:ascii="Times New Roman" w:hAnsi="Times New Roman" w:cs="Times New Roman"/>
          <w:sz w:val="24"/>
          <w:szCs w:val="24"/>
          <w:lang w:val="en-US"/>
        </w:rPr>
        <w:t xml:space="preserve"> </w:t>
      </w:r>
      <w:proofErr w:type="spellStart"/>
      <w:r w:rsidR="00CC5C14" w:rsidRPr="00332D83">
        <w:rPr>
          <w:rFonts w:ascii="Times New Roman" w:hAnsi="Times New Roman" w:cs="Times New Roman"/>
          <w:sz w:val="24"/>
          <w:szCs w:val="24"/>
          <w:lang w:val="en-US"/>
        </w:rPr>
        <w:t>em</w:t>
      </w:r>
      <w:proofErr w:type="spellEnd"/>
      <w:r w:rsidR="00CC5C14" w:rsidRPr="00332D83">
        <w:rPr>
          <w:rFonts w:ascii="Times New Roman" w:hAnsi="Times New Roman" w:cs="Times New Roman"/>
          <w:sz w:val="24"/>
          <w:szCs w:val="24"/>
          <w:lang w:val="en-US"/>
        </w:rPr>
        <w:t xml:space="preserve"> </w:t>
      </w:r>
      <w:proofErr w:type="spellStart"/>
      <w:r w:rsidR="00CC5C14" w:rsidRPr="00332D83">
        <w:rPr>
          <w:rFonts w:ascii="Times New Roman" w:hAnsi="Times New Roman" w:cs="Times New Roman"/>
          <w:sz w:val="24"/>
          <w:szCs w:val="24"/>
          <w:lang w:val="en-US"/>
        </w:rPr>
        <w:t>seu</w:t>
      </w:r>
      <w:proofErr w:type="spellEnd"/>
      <w:r w:rsidR="00CC5C14" w:rsidRPr="00332D83">
        <w:rPr>
          <w:rFonts w:ascii="Times New Roman" w:hAnsi="Times New Roman" w:cs="Times New Roman"/>
          <w:sz w:val="24"/>
          <w:szCs w:val="24"/>
          <w:lang w:val="en-US"/>
        </w:rPr>
        <w:t xml:space="preserve"> </w:t>
      </w:r>
      <w:proofErr w:type="spellStart"/>
      <w:r w:rsidR="00CC5C14" w:rsidRPr="00332D83">
        <w:rPr>
          <w:rFonts w:ascii="Times New Roman" w:hAnsi="Times New Roman" w:cs="Times New Roman"/>
          <w:sz w:val="24"/>
          <w:szCs w:val="24"/>
          <w:lang w:val="en-US"/>
        </w:rPr>
        <w:t>livro</w:t>
      </w:r>
      <w:proofErr w:type="spellEnd"/>
      <w:r w:rsidR="00CC5C14" w:rsidRPr="00332D83">
        <w:rPr>
          <w:rFonts w:ascii="Times New Roman" w:hAnsi="Times New Roman" w:cs="Times New Roman"/>
          <w:sz w:val="24"/>
          <w:szCs w:val="24"/>
          <w:lang w:val="en-US"/>
        </w:rPr>
        <w:t xml:space="preserve"> </w:t>
      </w:r>
      <w:r w:rsidR="00CC5C14" w:rsidRPr="00332D83">
        <w:rPr>
          <w:rFonts w:ascii="Times New Roman" w:hAnsi="Times New Roman" w:cs="Times New Roman"/>
          <w:i/>
          <w:sz w:val="24"/>
          <w:szCs w:val="24"/>
          <w:lang w:val="en-US"/>
        </w:rPr>
        <w:t>Lombard Street</w:t>
      </w:r>
      <w:r w:rsidR="00E74D64" w:rsidRPr="00332D83">
        <w:rPr>
          <w:rFonts w:ascii="Times New Roman" w:hAnsi="Times New Roman" w:cs="Times New Roman"/>
          <w:sz w:val="24"/>
          <w:szCs w:val="24"/>
          <w:lang w:val="en-US"/>
        </w:rPr>
        <w:t xml:space="preserve"> que: “</w:t>
      </w:r>
      <w:r w:rsidR="00E74D64" w:rsidRPr="00332D83">
        <w:rPr>
          <w:rFonts w:ascii="Times New Roman" w:hAnsi="Times New Roman" w:cs="Times New Roman"/>
          <w:i/>
          <w:sz w:val="24"/>
          <w:szCs w:val="24"/>
          <w:lang w:val="en-US"/>
        </w:rPr>
        <w:t>Since the Franco-German war, we may be said to keep the European reserve also. Deposit Banking is indeed so small on the Continent, that no large reserve need be held on account of it</w:t>
      </w:r>
      <w:r w:rsidR="00862EB5">
        <w:rPr>
          <w:rFonts w:ascii="Times New Roman" w:hAnsi="Times New Roman" w:cs="Times New Roman"/>
          <w:i/>
          <w:sz w:val="24"/>
          <w:szCs w:val="24"/>
          <w:lang w:val="en-US"/>
        </w:rPr>
        <w:t>.</w:t>
      </w:r>
      <w:r w:rsidR="00F61DD9">
        <w:rPr>
          <w:rFonts w:ascii="Times New Roman" w:hAnsi="Times New Roman" w:cs="Times New Roman"/>
          <w:i/>
          <w:sz w:val="24"/>
          <w:szCs w:val="24"/>
          <w:lang w:val="en-US"/>
        </w:rPr>
        <w:t xml:space="preserve"> </w:t>
      </w:r>
      <w:proofErr w:type="gramStart"/>
      <w:r w:rsidR="00862EB5">
        <w:rPr>
          <w:rFonts w:ascii="Times New Roman" w:hAnsi="Times New Roman" w:cs="Times New Roman"/>
          <w:i/>
          <w:sz w:val="24"/>
          <w:szCs w:val="24"/>
          <w:lang w:val="en-US"/>
        </w:rPr>
        <w:t>[</w:t>
      </w:r>
      <w:proofErr w:type="gramEnd"/>
      <w:r w:rsidR="00862EB5">
        <w:rPr>
          <w:rFonts w:ascii="Times New Roman" w:hAnsi="Times New Roman" w:cs="Times New Roman"/>
          <w:i/>
          <w:sz w:val="24"/>
          <w:szCs w:val="24"/>
          <w:lang w:val="en-US"/>
        </w:rPr>
        <w:t>…]</w:t>
      </w:r>
      <w:r w:rsidR="00E74D64" w:rsidRPr="00332D83">
        <w:rPr>
          <w:rFonts w:ascii="Times New Roman" w:hAnsi="Times New Roman" w:cs="Times New Roman"/>
          <w:i/>
          <w:sz w:val="24"/>
          <w:szCs w:val="24"/>
          <w:lang w:val="en-US"/>
        </w:rPr>
        <w:t xml:space="preserve"> Formerly there were two such stores in Europe, one was the Bank of France, and the other the Bank of England. But since the suspension of specie payments by the Bank of France, its use as a reservoir of specie is at an end. No one can draw a </w:t>
      </w:r>
      <w:proofErr w:type="spellStart"/>
      <w:r w:rsidR="00E74D64" w:rsidRPr="00332D83">
        <w:rPr>
          <w:rFonts w:ascii="Times New Roman" w:hAnsi="Times New Roman" w:cs="Times New Roman"/>
          <w:i/>
          <w:sz w:val="24"/>
          <w:szCs w:val="24"/>
          <w:lang w:val="en-US"/>
        </w:rPr>
        <w:t>cheque</w:t>
      </w:r>
      <w:proofErr w:type="spellEnd"/>
      <w:r w:rsidR="00E74D64" w:rsidRPr="00332D83">
        <w:rPr>
          <w:rFonts w:ascii="Times New Roman" w:hAnsi="Times New Roman" w:cs="Times New Roman"/>
          <w:i/>
          <w:sz w:val="24"/>
          <w:szCs w:val="24"/>
          <w:lang w:val="en-US"/>
        </w:rPr>
        <w:t xml:space="preserve"> on it and be sure of getting gold or silver for that </w:t>
      </w:r>
      <w:proofErr w:type="spellStart"/>
      <w:r w:rsidR="00E74D64" w:rsidRPr="00332D83">
        <w:rPr>
          <w:rFonts w:ascii="Times New Roman" w:hAnsi="Times New Roman" w:cs="Times New Roman"/>
          <w:i/>
          <w:sz w:val="24"/>
          <w:szCs w:val="24"/>
          <w:lang w:val="en-US"/>
        </w:rPr>
        <w:t>cheque</w:t>
      </w:r>
      <w:proofErr w:type="spellEnd"/>
      <w:r w:rsidR="00E74D64" w:rsidRPr="00332D83">
        <w:rPr>
          <w:rFonts w:ascii="Times New Roman" w:hAnsi="Times New Roman" w:cs="Times New Roman"/>
          <w:i/>
          <w:sz w:val="24"/>
          <w:szCs w:val="24"/>
          <w:lang w:val="en-US"/>
        </w:rPr>
        <w:t>. Accordingly the whole liability for such international payments in cash is thrown on the Bank of England</w:t>
      </w:r>
      <w:r w:rsidR="00A76238" w:rsidRPr="00332D83">
        <w:rPr>
          <w:rFonts w:ascii="Times New Roman" w:hAnsi="Times New Roman" w:cs="Times New Roman"/>
          <w:i/>
          <w:sz w:val="24"/>
          <w:szCs w:val="24"/>
          <w:lang w:val="en-US"/>
        </w:rPr>
        <w:t>”</w:t>
      </w:r>
      <w:r w:rsidR="00E74D64" w:rsidRPr="00332D83">
        <w:rPr>
          <w:rFonts w:ascii="Times New Roman" w:hAnsi="Times New Roman" w:cs="Times New Roman"/>
          <w:sz w:val="24"/>
          <w:szCs w:val="24"/>
          <w:lang w:val="en-US"/>
        </w:rPr>
        <w:t>.</w:t>
      </w:r>
      <w:r w:rsidR="00862EB5">
        <w:rPr>
          <w:rFonts w:ascii="Times New Roman" w:hAnsi="Times New Roman" w:cs="Times New Roman"/>
          <w:sz w:val="24"/>
          <w:szCs w:val="24"/>
          <w:lang w:val="en-US"/>
        </w:rPr>
        <w:t xml:space="preserve"> </w:t>
      </w:r>
      <w:r w:rsidR="001F6F50" w:rsidRPr="00E16843">
        <w:rPr>
          <w:rFonts w:ascii="Times New Roman" w:hAnsi="Times New Roman" w:cs="Times New Roman"/>
          <w:sz w:val="24"/>
          <w:szCs w:val="24"/>
        </w:rPr>
        <w:t xml:space="preserve">(BAGEHOT, </w:t>
      </w:r>
      <w:r w:rsidR="00862EB5" w:rsidRPr="00E16843">
        <w:rPr>
          <w:rFonts w:ascii="Times New Roman" w:hAnsi="Times New Roman" w:cs="Times New Roman"/>
          <w:sz w:val="24"/>
          <w:szCs w:val="24"/>
        </w:rPr>
        <w:t>1873:25)</w:t>
      </w:r>
    </w:p>
    <w:p w:rsidR="005E6D43" w:rsidRPr="00332D83" w:rsidRDefault="00DF775C"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A</w:t>
      </w:r>
      <w:r w:rsidR="00DD6FA3" w:rsidRPr="00332D83">
        <w:rPr>
          <w:rFonts w:ascii="Times New Roman" w:hAnsi="Times New Roman" w:cs="Times New Roman"/>
          <w:sz w:val="24"/>
          <w:szCs w:val="24"/>
        </w:rPr>
        <w:t xml:space="preserve"> perda de competitividade do mercado financeiro francês</w:t>
      </w:r>
      <w:r w:rsidRPr="00332D83">
        <w:rPr>
          <w:rFonts w:ascii="Times New Roman" w:hAnsi="Times New Roman" w:cs="Times New Roman"/>
          <w:sz w:val="24"/>
          <w:szCs w:val="24"/>
        </w:rPr>
        <w:t xml:space="preserve"> permitiu que</w:t>
      </w:r>
      <w:r w:rsidR="00BC35D7" w:rsidRPr="00332D83">
        <w:rPr>
          <w:rFonts w:ascii="Times New Roman" w:hAnsi="Times New Roman" w:cs="Times New Roman"/>
          <w:sz w:val="24"/>
          <w:szCs w:val="24"/>
        </w:rPr>
        <w:t xml:space="preserve"> a supremacia inglesa </w:t>
      </w:r>
      <w:r w:rsidRPr="00332D83">
        <w:rPr>
          <w:rFonts w:ascii="Times New Roman" w:hAnsi="Times New Roman" w:cs="Times New Roman"/>
          <w:sz w:val="24"/>
          <w:szCs w:val="24"/>
        </w:rPr>
        <w:t>se consolidas</w:t>
      </w:r>
      <w:r w:rsidR="00BC35D7" w:rsidRPr="00332D83">
        <w:rPr>
          <w:rFonts w:ascii="Times New Roman" w:hAnsi="Times New Roman" w:cs="Times New Roman"/>
          <w:sz w:val="24"/>
          <w:szCs w:val="24"/>
        </w:rPr>
        <w:t xml:space="preserve">se no sistema monetário e financeiro internacional </w:t>
      </w:r>
      <w:r w:rsidR="00310F85" w:rsidRPr="00332D83">
        <w:rPr>
          <w:rFonts w:ascii="Times New Roman" w:hAnsi="Times New Roman" w:cs="Times New Roman"/>
          <w:sz w:val="24"/>
          <w:szCs w:val="24"/>
        </w:rPr>
        <w:t>até 1931</w:t>
      </w:r>
      <w:r w:rsidR="00B80369" w:rsidRPr="00332D83">
        <w:rPr>
          <w:rFonts w:ascii="Times New Roman" w:hAnsi="Times New Roman" w:cs="Times New Roman"/>
          <w:sz w:val="24"/>
          <w:szCs w:val="24"/>
        </w:rPr>
        <w:t>. Pouc</w:t>
      </w:r>
      <w:r w:rsidR="00310F85" w:rsidRPr="00332D83">
        <w:rPr>
          <w:rFonts w:ascii="Times New Roman" w:hAnsi="Times New Roman" w:cs="Times New Roman"/>
          <w:sz w:val="24"/>
          <w:szCs w:val="24"/>
        </w:rPr>
        <w:t>o</w:t>
      </w:r>
      <w:r w:rsidR="00CC5C14" w:rsidRPr="00332D83">
        <w:rPr>
          <w:rFonts w:ascii="Times New Roman" w:hAnsi="Times New Roman" w:cs="Times New Roman"/>
          <w:sz w:val="24"/>
          <w:szCs w:val="24"/>
        </w:rPr>
        <w:t xml:space="preserve"> a pouco, os países relevantes </w:t>
      </w:r>
      <w:r w:rsidRPr="00332D83">
        <w:rPr>
          <w:rFonts w:ascii="Times New Roman" w:hAnsi="Times New Roman" w:cs="Times New Roman"/>
          <w:sz w:val="24"/>
          <w:szCs w:val="24"/>
        </w:rPr>
        <w:t xml:space="preserve">foram </w:t>
      </w:r>
      <w:r w:rsidR="00B80369" w:rsidRPr="00332D83">
        <w:rPr>
          <w:rFonts w:ascii="Times New Roman" w:hAnsi="Times New Roman" w:cs="Times New Roman"/>
          <w:sz w:val="24"/>
          <w:szCs w:val="24"/>
        </w:rPr>
        <w:t xml:space="preserve">aderindo ao </w:t>
      </w:r>
      <w:r w:rsidRPr="00332D83">
        <w:rPr>
          <w:rFonts w:ascii="Times New Roman" w:hAnsi="Times New Roman" w:cs="Times New Roman"/>
          <w:sz w:val="24"/>
          <w:szCs w:val="24"/>
        </w:rPr>
        <w:t>regime</w:t>
      </w:r>
      <w:r w:rsidR="00B80369" w:rsidRPr="00332D83">
        <w:rPr>
          <w:rFonts w:ascii="Times New Roman" w:hAnsi="Times New Roman" w:cs="Times New Roman"/>
          <w:sz w:val="24"/>
          <w:szCs w:val="24"/>
        </w:rPr>
        <w:t xml:space="preserve"> </w:t>
      </w:r>
      <w:r w:rsidR="00CC5C14" w:rsidRPr="00332D83">
        <w:rPr>
          <w:rFonts w:ascii="Times New Roman" w:hAnsi="Times New Roman" w:cs="Times New Roman"/>
          <w:sz w:val="24"/>
          <w:szCs w:val="24"/>
        </w:rPr>
        <w:t xml:space="preserve">monometalista </w:t>
      </w:r>
      <w:r w:rsidR="00B80369" w:rsidRPr="00332D83">
        <w:rPr>
          <w:rFonts w:ascii="Times New Roman" w:hAnsi="Times New Roman" w:cs="Times New Roman"/>
          <w:sz w:val="24"/>
          <w:szCs w:val="24"/>
        </w:rPr>
        <w:t>inglês.</w:t>
      </w:r>
      <w:r w:rsidR="00DD6FA3" w:rsidRPr="00332D83">
        <w:rPr>
          <w:rFonts w:ascii="Times New Roman" w:hAnsi="Times New Roman" w:cs="Times New Roman"/>
          <w:sz w:val="24"/>
          <w:szCs w:val="24"/>
        </w:rPr>
        <w:t xml:space="preserve"> </w:t>
      </w:r>
      <w:r w:rsidR="00310F85" w:rsidRPr="00332D83">
        <w:rPr>
          <w:rFonts w:ascii="Times New Roman" w:hAnsi="Times New Roman" w:cs="Times New Roman"/>
          <w:sz w:val="24"/>
          <w:szCs w:val="24"/>
        </w:rPr>
        <w:t>Em</w:t>
      </w:r>
      <w:r w:rsidR="00DD6FA3" w:rsidRPr="00332D83">
        <w:rPr>
          <w:rFonts w:ascii="Times New Roman" w:hAnsi="Times New Roman" w:cs="Times New Roman"/>
          <w:sz w:val="24"/>
          <w:szCs w:val="24"/>
        </w:rPr>
        <w:t xml:space="preserve"> 1870, apenas</w:t>
      </w:r>
      <w:r w:rsidR="00310F85" w:rsidRPr="00332D83">
        <w:rPr>
          <w:rFonts w:ascii="Times New Roman" w:hAnsi="Times New Roman" w:cs="Times New Roman"/>
          <w:sz w:val="24"/>
          <w:szCs w:val="24"/>
        </w:rPr>
        <w:t xml:space="preserve"> Inglaterra e Portugal</w:t>
      </w:r>
      <w:r w:rsidR="00DD6FA3" w:rsidRPr="00332D83">
        <w:rPr>
          <w:rFonts w:ascii="Times New Roman" w:hAnsi="Times New Roman" w:cs="Times New Roman"/>
          <w:sz w:val="24"/>
          <w:szCs w:val="24"/>
        </w:rPr>
        <w:t xml:space="preserve"> haviam formalmente </w:t>
      </w:r>
      <w:r w:rsidR="00CC5C14" w:rsidRPr="00332D83">
        <w:rPr>
          <w:rFonts w:ascii="Times New Roman" w:hAnsi="Times New Roman" w:cs="Times New Roman"/>
          <w:sz w:val="24"/>
          <w:szCs w:val="24"/>
        </w:rPr>
        <w:t>adotado</w:t>
      </w:r>
      <w:r w:rsidRPr="00332D83">
        <w:rPr>
          <w:rFonts w:ascii="Times New Roman" w:hAnsi="Times New Roman" w:cs="Times New Roman"/>
          <w:sz w:val="24"/>
          <w:szCs w:val="24"/>
        </w:rPr>
        <w:t xml:space="preserve"> </w:t>
      </w:r>
      <w:r w:rsidR="00310F85" w:rsidRPr="00332D83">
        <w:rPr>
          <w:rFonts w:ascii="Times New Roman" w:hAnsi="Times New Roman" w:cs="Times New Roman"/>
          <w:sz w:val="24"/>
          <w:szCs w:val="24"/>
        </w:rPr>
        <w:t>o padrão ouro. A final dessa década,</w:t>
      </w:r>
      <w:r w:rsidR="00DD6FA3" w:rsidRPr="00332D83">
        <w:rPr>
          <w:rFonts w:ascii="Times New Roman" w:hAnsi="Times New Roman" w:cs="Times New Roman"/>
          <w:sz w:val="24"/>
          <w:szCs w:val="24"/>
        </w:rPr>
        <w:t xml:space="preserve"> quase todos os países </w:t>
      </w:r>
      <w:r w:rsidR="00E16843">
        <w:rPr>
          <w:rFonts w:ascii="Times New Roman" w:hAnsi="Times New Roman" w:cs="Times New Roman"/>
          <w:sz w:val="24"/>
          <w:szCs w:val="24"/>
        </w:rPr>
        <w:t xml:space="preserve">importantes </w:t>
      </w:r>
      <w:r w:rsidR="00DD6FA3" w:rsidRPr="00332D83">
        <w:rPr>
          <w:rFonts w:ascii="Times New Roman" w:hAnsi="Times New Roman" w:cs="Times New Roman"/>
          <w:sz w:val="24"/>
          <w:szCs w:val="24"/>
        </w:rPr>
        <w:t xml:space="preserve">já haviam </w:t>
      </w:r>
      <w:r w:rsidR="00CC5C14" w:rsidRPr="00332D83">
        <w:rPr>
          <w:rFonts w:ascii="Times New Roman" w:hAnsi="Times New Roman" w:cs="Times New Roman"/>
          <w:sz w:val="24"/>
          <w:szCs w:val="24"/>
        </w:rPr>
        <w:t>aderido</w:t>
      </w:r>
      <w:r w:rsidR="00DD6FA3" w:rsidRPr="00332D83">
        <w:rPr>
          <w:rFonts w:ascii="Times New Roman" w:hAnsi="Times New Roman" w:cs="Times New Roman"/>
          <w:sz w:val="24"/>
          <w:szCs w:val="24"/>
        </w:rPr>
        <w:t xml:space="preserve">. A transformação começou com a Alemanha em 1871, </w:t>
      </w:r>
      <w:r w:rsidR="000E46E0" w:rsidRPr="00332D83">
        <w:rPr>
          <w:rFonts w:ascii="Times New Roman" w:hAnsi="Times New Roman" w:cs="Times New Roman"/>
          <w:sz w:val="24"/>
          <w:szCs w:val="24"/>
        </w:rPr>
        <w:t>acompanhada</w:t>
      </w:r>
      <w:r w:rsidR="00DD6FA3" w:rsidRPr="00332D83">
        <w:rPr>
          <w:rFonts w:ascii="Times New Roman" w:hAnsi="Times New Roman" w:cs="Times New Roman"/>
          <w:sz w:val="24"/>
          <w:szCs w:val="24"/>
        </w:rPr>
        <w:t xml:space="preserve"> pelos países escandinavos e a Holanda. Os EUA desmoneti</w:t>
      </w:r>
      <w:r w:rsidR="00850DBD" w:rsidRPr="00332D83">
        <w:rPr>
          <w:rFonts w:ascii="Times New Roman" w:hAnsi="Times New Roman" w:cs="Times New Roman"/>
          <w:sz w:val="24"/>
          <w:szCs w:val="24"/>
        </w:rPr>
        <w:t>z</w:t>
      </w:r>
      <w:r w:rsidR="00DD6FA3" w:rsidRPr="00332D83">
        <w:rPr>
          <w:rFonts w:ascii="Times New Roman" w:hAnsi="Times New Roman" w:cs="Times New Roman"/>
          <w:sz w:val="24"/>
          <w:szCs w:val="24"/>
        </w:rPr>
        <w:t xml:space="preserve">aram formalmente a prata em 1873, </w:t>
      </w:r>
      <w:r w:rsidR="000E46E0" w:rsidRPr="00332D83">
        <w:rPr>
          <w:rFonts w:ascii="Times New Roman" w:hAnsi="Times New Roman" w:cs="Times New Roman"/>
          <w:sz w:val="24"/>
          <w:szCs w:val="24"/>
        </w:rPr>
        <w:t xml:space="preserve">apesar de na prática já estarem sujeitos ao padrão ouro desde os anos 1830. Foram </w:t>
      </w:r>
      <w:r w:rsidR="00850DBD" w:rsidRPr="00332D83">
        <w:rPr>
          <w:rFonts w:ascii="Times New Roman" w:hAnsi="Times New Roman" w:cs="Times New Roman"/>
          <w:sz w:val="24"/>
          <w:szCs w:val="24"/>
        </w:rPr>
        <w:t xml:space="preserve">seguidos pela França e </w:t>
      </w:r>
      <w:r w:rsidRPr="00332D83">
        <w:rPr>
          <w:rFonts w:ascii="Times New Roman" w:hAnsi="Times New Roman" w:cs="Times New Roman"/>
          <w:sz w:val="24"/>
          <w:szCs w:val="24"/>
        </w:rPr>
        <w:t>pel</w:t>
      </w:r>
      <w:r w:rsidR="00850DBD" w:rsidRPr="00332D83">
        <w:rPr>
          <w:rFonts w:ascii="Times New Roman" w:hAnsi="Times New Roman" w:cs="Times New Roman"/>
          <w:sz w:val="24"/>
          <w:szCs w:val="24"/>
        </w:rPr>
        <w:t>a Bélgica. As potências restantes aderiram na década de 1890: Áustria-Hungria em 1892, Rússia e Japão em 1897.</w:t>
      </w:r>
      <w:r w:rsidR="0067067A" w:rsidRPr="00332D83">
        <w:rPr>
          <w:rFonts w:ascii="Times New Roman" w:hAnsi="Times New Roman" w:cs="Times New Roman"/>
          <w:sz w:val="24"/>
          <w:szCs w:val="24"/>
        </w:rPr>
        <w:t xml:space="preserve"> </w:t>
      </w:r>
      <w:r w:rsidR="005E6D43" w:rsidRPr="00332D83">
        <w:rPr>
          <w:rFonts w:ascii="Times New Roman" w:hAnsi="Times New Roman" w:cs="Times New Roman"/>
          <w:sz w:val="24"/>
          <w:szCs w:val="24"/>
        </w:rPr>
        <w:t>Adotar o padrão ouro reduzi</w:t>
      </w:r>
      <w:r w:rsidR="00276F2B" w:rsidRPr="00332D83">
        <w:rPr>
          <w:rFonts w:ascii="Times New Roman" w:hAnsi="Times New Roman" w:cs="Times New Roman"/>
          <w:sz w:val="24"/>
          <w:szCs w:val="24"/>
        </w:rPr>
        <w:t>a</w:t>
      </w:r>
      <w:r w:rsidR="005E6D43" w:rsidRPr="00332D83">
        <w:rPr>
          <w:rFonts w:ascii="Times New Roman" w:hAnsi="Times New Roman" w:cs="Times New Roman"/>
          <w:sz w:val="24"/>
          <w:szCs w:val="24"/>
        </w:rPr>
        <w:t xml:space="preserve"> os custos d</w:t>
      </w:r>
      <w:r w:rsidR="00F02C3E" w:rsidRPr="00332D83">
        <w:rPr>
          <w:rFonts w:ascii="Times New Roman" w:hAnsi="Times New Roman" w:cs="Times New Roman"/>
          <w:sz w:val="24"/>
          <w:szCs w:val="24"/>
        </w:rPr>
        <w:t xml:space="preserve">os </w:t>
      </w:r>
      <w:r w:rsidR="005E6D43" w:rsidRPr="00332D83">
        <w:rPr>
          <w:rFonts w:ascii="Times New Roman" w:hAnsi="Times New Roman" w:cs="Times New Roman"/>
          <w:sz w:val="24"/>
          <w:szCs w:val="24"/>
        </w:rPr>
        <w:t>financiamento</w:t>
      </w:r>
      <w:r w:rsidR="00F02C3E" w:rsidRPr="00332D83">
        <w:rPr>
          <w:rFonts w:ascii="Times New Roman" w:hAnsi="Times New Roman" w:cs="Times New Roman"/>
          <w:sz w:val="24"/>
          <w:szCs w:val="24"/>
        </w:rPr>
        <w:t>s inter</w:t>
      </w:r>
      <w:r w:rsidR="00276F2B" w:rsidRPr="00332D83">
        <w:rPr>
          <w:rFonts w:ascii="Times New Roman" w:hAnsi="Times New Roman" w:cs="Times New Roman"/>
          <w:sz w:val="24"/>
          <w:szCs w:val="24"/>
        </w:rPr>
        <w:t xml:space="preserve">nos e externos e permitia </w:t>
      </w:r>
      <w:r w:rsidR="005E6D43" w:rsidRPr="00332D83">
        <w:rPr>
          <w:rFonts w:ascii="Times New Roman" w:hAnsi="Times New Roman" w:cs="Times New Roman"/>
          <w:sz w:val="24"/>
          <w:szCs w:val="24"/>
        </w:rPr>
        <w:t>aumentar os prazos</w:t>
      </w:r>
      <w:r w:rsidR="00276F2B" w:rsidRPr="00332D83">
        <w:rPr>
          <w:rFonts w:ascii="Times New Roman" w:hAnsi="Times New Roman" w:cs="Times New Roman"/>
          <w:sz w:val="24"/>
          <w:szCs w:val="24"/>
        </w:rPr>
        <w:t xml:space="preserve"> das operações financeiras. Era,</w:t>
      </w:r>
      <w:r w:rsidR="005E6D43" w:rsidRPr="00332D83">
        <w:rPr>
          <w:rFonts w:ascii="Times New Roman" w:hAnsi="Times New Roman" w:cs="Times New Roman"/>
          <w:sz w:val="24"/>
          <w:szCs w:val="24"/>
        </w:rPr>
        <w:t xml:space="preserve"> </w:t>
      </w:r>
      <w:r w:rsidR="00276F2B" w:rsidRPr="00332D83">
        <w:rPr>
          <w:rFonts w:ascii="Times New Roman" w:hAnsi="Times New Roman" w:cs="Times New Roman"/>
          <w:sz w:val="24"/>
          <w:szCs w:val="24"/>
        </w:rPr>
        <w:t xml:space="preserve">de certo modo, </w:t>
      </w:r>
      <w:r w:rsidR="005E6D43" w:rsidRPr="00332D83">
        <w:rPr>
          <w:rFonts w:ascii="Times New Roman" w:hAnsi="Times New Roman" w:cs="Times New Roman"/>
          <w:sz w:val="24"/>
          <w:szCs w:val="24"/>
        </w:rPr>
        <w:t>um selo de qua</w:t>
      </w:r>
      <w:r w:rsidR="00276F2B" w:rsidRPr="00332D83">
        <w:rPr>
          <w:rFonts w:ascii="Times New Roman" w:hAnsi="Times New Roman" w:cs="Times New Roman"/>
          <w:sz w:val="24"/>
          <w:szCs w:val="24"/>
        </w:rPr>
        <w:t xml:space="preserve">lidade de risco </w:t>
      </w:r>
      <w:r w:rsidR="00CC5C14" w:rsidRPr="00332D83">
        <w:rPr>
          <w:rFonts w:ascii="Times New Roman" w:hAnsi="Times New Roman" w:cs="Times New Roman"/>
          <w:sz w:val="24"/>
          <w:szCs w:val="24"/>
        </w:rPr>
        <w:t xml:space="preserve">de crédito </w:t>
      </w:r>
      <w:r w:rsidR="00D22BA9" w:rsidRPr="00332D83">
        <w:rPr>
          <w:rFonts w:ascii="Times New Roman" w:hAnsi="Times New Roman" w:cs="Times New Roman"/>
          <w:sz w:val="24"/>
          <w:szCs w:val="24"/>
        </w:rPr>
        <w:t xml:space="preserve">para os Estados, empresas e bancos </w:t>
      </w:r>
      <w:r w:rsidR="00CC5C14" w:rsidRPr="00332D83">
        <w:rPr>
          <w:rFonts w:ascii="Times New Roman" w:hAnsi="Times New Roman" w:cs="Times New Roman"/>
          <w:sz w:val="24"/>
          <w:szCs w:val="24"/>
        </w:rPr>
        <w:t>participantes do sistema</w:t>
      </w:r>
      <w:r w:rsidR="00276F2B" w:rsidRPr="00332D83">
        <w:rPr>
          <w:rFonts w:ascii="Times New Roman" w:hAnsi="Times New Roman" w:cs="Times New Roman"/>
          <w:sz w:val="24"/>
          <w:szCs w:val="24"/>
        </w:rPr>
        <w:t>.</w:t>
      </w:r>
    </w:p>
    <w:p w:rsidR="007C0ADF" w:rsidRPr="00332D83" w:rsidRDefault="00850DBD"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Em nenhum desses casos, a </w:t>
      </w:r>
      <w:r w:rsidR="00CC5C14" w:rsidRPr="00332D83">
        <w:rPr>
          <w:rFonts w:ascii="Times New Roman" w:hAnsi="Times New Roman" w:cs="Times New Roman"/>
          <w:sz w:val="24"/>
          <w:szCs w:val="24"/>
        </w:rPr>
        <w:t>adoção do</w:t>
      </w:r>
      <w:r w:rsidRPr="00332D83">
        <w:rPr>
          <w:rFonts w:ascii="Times New Roman" w:hAnsi="Times New Roman" w:cs="Times New Roman"/>
          <w:sz w:val="24"/>
          <w:szCs w:val="24"/>
        </w:rPr>
        <w:t xml:space="preserve"> padrão-ouro foi decorrência de imposição ou </w:t>
      </w:r>
      <w:r w:rsidR="007C0ADF" w:rsidRPr="00332D83">
        <w:rPr>
          <w:rFonts w:ascii="Times New Roman" w:hAnsi="Times New Roman" w:cs="Times New Roman"/>
          <w:sz w:val="24"/>
          <w:szCs w:val="24"/>
        </w:rPr>
        <w:t xml:space="preserve">de </w:t>
      </w:r>
      <w:r w:rsidRPr="00332D83">
        <w:rPr>
          <w:rFonts w:ascii="Times New Roman" w:hAnsi="Times New Roman" w:cs="Times New Roman"/>
          <w:sz w:val="24"/>
          <w:szCs w:val="24"/>
        </w:rPr>
        <w:t xml:space="preserve">coerção por parte da Inglaterra. </w:t>
      </w:r>
      <w:r w:rsidR="00DF775C" w:rsidRPr="00332D83">
        <w:rPr>
          <w:rFonts w:ascii="Times New Roman" w:hAnsi="Times New Roman" w:cs="Times New Roman"/>
          <w:sz w:val="24"/>
          <w:szCs w:val="24"/>
        </w:rPr>
        <w:t>Essas</w:t>
      </w:r>
      <w:r w:rsidR="0067067A" w:rsidRPr="00332D83">
        <w:rPr>
          <w:rFonts w:ascii="Times New Roman" w:hAnsi="Times New Roman" w:cs="Times New Roman"/>
          <w:sz w:val="24"/>
          <w:szCs w:val="24"/>
        </w:rPr>
        <w:t xml:space="preserve"> decisões</w:t>
      </w:r>
      <w:r w:rsidR="00D22BA9" w:rsidRPr="00332D83">
        <w:rPr>
          <w:rFonts w:ascii="Times New Roman" w:hAnsi="Times New Roman" w:cs="Times New Roman"/>
          <w:sz w:val="24"/>
          <w:szCs w:val="24"/>
        </w:rPr>
        <w:t xml:space="preserve"> </w:t>
      </w:r>
      <w:r w:rsidR="00DF775C" w:rsidRPr="00332D83">
        <w:rPr>
          <w:rFonts w:ascii="Times New Roman" w:hAnsi="Times New Roman" w:cs="Times New Roman"/>
          <w:sz w:val="24"/>
          <w:szCs w:val="24"/>
        </w:rPr>
        <w:t>em todos os casos do</w:t>
      </w:r>
      <w:r w:rsidR="007C0ADF" w:rsidRPr="00332D83">
        <w:rPr>
          <w:rFonts w:ascii="Times New Roman" w:hAnsi="Times New Roman" w:cs="Times New Roman"/>
          <w:sz w:val="24"/>
          <w:szCs w:val="24"/>
        </w:rPr>
        <w:t xml:space="preserve">s países relevantes </w:t>
      </w:r>
      <w:r w:rsidR="00EA7C98" w:rsidRPr="00332D83">
        <w:rPr>
          <w:rFonts w:ascii="Times New Roman" w:hAnsi="Times New Roman" w:cs="Times New Roman"/>
          <w:sz w:val="24"/>
          <w:szCs w:val="24"/>
        </w:rPr>
        <w:t xml:space="preserve">foram </w:t>
      </w:r>
      <w:r w:rsidR="0067067A" w:rsidRPr="00332D83">
        <w:rPr>
          <w:rFonts w:ascii="Times New Roman" w:hAnsi="Times New Roman" w:cs="Times New Roman"/>
          <w:sz w:val="24"/>
          <w:szCs w:val="24"/>
        </w:rPr>
        <w:t xml:space="preserve">unilaterais. </w:t>
      </w:r>
      <w:r w:rsidR="00CC5C14" w:rsidRPr="00332D83">
        <w:rPr>
          <w:rFonts w:ascii="Times New Roman" w:hAnsi="Times New Roman" w:cs="Times New Roman"/>
          <w:sz w:val="24"/>
          <w:szCs w:val="24"/>
        </w:rPr>
        <w:t>Em parte, e</w:t>
      </w:r>
      <w:r w:rsidR="00D22BA9" w:rsidRPr="00332D83">
        <w:rPr>
          <w:rFonts w:ascii="Times New Roman" w:hAnsi="Times New Roman" w:cs="Times New Roman"/>
          <w:sz w:val="24"/>
          <w:szCs w:val="24"/>
        </w:rPr>
        <w:t>ssa mudança decorria da</w:t>
      </w:r>
      <w:r w:rsidR="00CC5C14" w:rsidRPr="00332D83">
        <w:rPr>
          <w:rFonts w:ascii="Times New Roman" w:hAnsi="Times New Roman" w:cs="Times New Roman"/>
          <w:sz w:val="24"/>
          <w:szCs w:val="24"/>
        </w:rPr>
        <w:t xml:space="preserve"> </w:t>
      </w:r>
      <w:r w:rsidR="0067067A" w:rsidRPr="00332D83">
        <w:rPr>
          <w:rFonts w:ascii="Times New Roman" w:hAnsi="Times New Roman" w:cs="Times New Roman"/>
          <w:sz w:val="24"/>
          <w:szCs w:val="24"/>
        </w:rPr>
        <w:t xml:space="preserve">contínua </w:t>
      </w:r>
      <w:r w:rsidRPr="00332D83">
        <w:rPr>
          <w:rFonts w:ascii="Times New Roman" w:hAnsi="Times New Roman" w:cs="Times New Roman"/>
          <w:sz w:val="24"/>
          <w:szCs w:val="24"/>
        </w:rPr>
        <w:t>perda de valor da prata</w:t>
      </w:r>
      <w:r w:rsidR="0067067A" w:rsidRPr="00332D83">
        <w:rPr>
          <w:rFonts w:ascii="Times New Roman" w:hAnsi="Times New Roman" w:cs="Times New Roman"/>
          <w:sz w:val="24"/>
          <w:szCs w:val="24"/>
        </w:rPr>
        <w:t xml:space="preserve"> frente ao ouro nos anos anteriores</w:t>
      </w:r>
      <w:r w:rsidR="00D22BA9" w:rsidRPr="00332D83">
        <w:rPr>
          <w:rFonts w:ascii="Times New Roman" w:hAnsi="Times New Roman" w:cs="Times New Roman"/>
          <w:sz w:val="24"/>
          <w:szCs w:val="24"/>
        </w:rPr>
        <w:t xml:space="preserve"> a </w:t>
      </w:r>
      <w:r w:rsidR="007C0ADF" w:rsidRPr="00332D83">
        <w:rPr>
          <w:rFonts w:ascii="Times New Roman" w:hAnsi="Times New Roman" w:cs="Times New Roman"/>
          <w:sz w:val="24"/>
          <w:szCs w:val="24"/>
        </w:rPr>
        <w:t>1</w:t>
      </w:r>
      <w:r w:rsidR="00D22BA9" w:rsidRPr="00332D83">
        <w:rPr>
          <w:rFonts w:ascii="Times New Roman" w:hAnsi="Times New Roman" w:cs="Times New Roman"/>
          <w:sz w:val="24"/>
          <w:szCs w:val="24"/>
        </w:rPr>
        <w:t>870</w:t>
      </w:r>
      <w:r w:rsidRPr="00332D83">
        <w:rPr>
          <w:rFonts w:ascii="Times New Roman" w:hAnsi="Times New Roman" w:cs="Times New Roman"/>
          <w:sz w:val="24"/>
          <w:szCs w:val="24"/>
        </w:rPr>
        <w:t xml:space="preserve">. </w:t>
      </w:r>
      <w:r w:rsidR="00D22BA9" w:rsidRPr="00332D83">
        <w:rPr>
          <w:rFonts w:ascii="Times New Roman" w:hAnsi="Times New Roman" w:cs="Times New Roman"/>
          <w:sz w:val="24"/>
          <w:szCs w:val="24"/>
        </w:rPr>
        <w:t>Esse</w:t>
      </w:r>
      <w:r w:rsidR="00FA2688" w:rsidRPr="00332D83">
        <w:rPr>
          <w:rFonts w:ascii="Times New Roman" w:hAnsi="Times New Roman" w:cs="Times New Roman"/>
          <w:sz w:val="24"/>
          <w:szCs w:val="24"/>
        </w:rPr>
        <w:t xml:space="preserve"> fenômeno </w:t>
      </w:r>
      <w:r w:rsidR="00CC5C14" w:rsidRPr="00332D83">
        <w:rPr>
          <w:rFonts w:ascii="Times New Roman" w:hAnsi="Times New Roman" w:cs="Times New Roman"/>
          <w:sz w:val="24"/>
          <w:szCs w:val="24"/>
        </w:rPr>
        <w:t>explica o fato de tantos países entrarem no padrão ouro em</w:t>
      </w:r>
      <w:r w:rsidR="00FA2688" w:rsidRPr="00332D83">
        <w:rPr>
          <w:rFonts w:ascii="Times New Roman" w:hAnsi="Times New Roman" w:cs="Times New Roman"/>
          <w:sz w:val="24"/>
          <w:szCs w:val="24"/>
        </w:rPr>
        <w:t xml:space="preserve"> um período relativamente curto. </w:t>
      </w:r>
    </w:p>
    <w:p w:rsidR="00E37E29" w:rsidRPr="00332D83" w:rsidRDefault="000E46E0"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lang w:val="en-US"/>
        </w:rPr>
        <w:t xml:space="preserve">Como </w:t>
      </w:r>
      <w:proofErr w:type="spellStart"/>
      <w:r w:rsidR="00CC5C14" w:rsidRPr="00332D83">
        <w:rPr>
          <w:rFonts w:ascii="Times New Roman" w:hAnsi="Times New Roman" w:cs="Times New Roman"/>
          <w:sz w:val="24"/>
          <w:szCs w:val="24"/>
          <w:lang w:val="en-US"/>
        </w:rPr>
        <w:t>salientou</w:t>
      </w:r>
      <w:proofErr w:type="spellEnd"/>
      <w:r w:rsidRPr="00332D83">
        <w:rPr>
          <w:rFonts w:ascii="Times New Roman" w:hAnsi="Times New Roman" w:cs="Times New Roman"/>
          <w:sz w:val="24"/>
          <w:szCs w:val="24"/>
          <w:lang w:val="en-US"/>
        </w:rPr>
        <w:t xml:space="preserve"> </w:t>
      </w:r>
      <w:proofErr w:type="spellStart"/>
      <w:r w:rsidRPr="00332D83">
        <w:rPr>
          <w:rFonts w:ascii="Times New Roman" w:hAnsi="Times New Roman" w:cs="Times New Roman"/>
          <w:sz w:val="24"/>
          <w:szCs w:val="24"/>
          <w:lang w:val="en-US"/>
        </w:rPr>
        <w:t>Galarotti</w:t>
      </w:r>
      <w:proofErr w:type="spellEnd"/>
      <w:r w:rsidRPr="00332D83">
        <w:rPr>
          <w:rFonts w:ascii="Times New Roman" w:hAnsi="Times New Roman" w:cs="Times New Roman"/>
          <w:sz w:val="24"/>
          <w:szCs w:val="24"/>
          <w:lang w:val="en-US"/>
        </w:rPr>
        <w:t>: “</w:t>
      </w:r>
      <w:r w:rsidRPr="00332D83">
        <w:rPr>
          <w:rFonts w:ascii="Times New Roman" w:hAnsi="Times New Roman" w:cs="Times New Roman"/>
          <w:i/>
          <w:sz w:val="24"/>
          <w:szCs w:val="24"/>
          <w:lang w:val="en-US"/>
        </w:rPr>
        <w:t xml:space="preserve">Once conditions in the market for metals changed in the late 1860s and early 1870s in a way that significantly raised the bullion value of gold relative to that of silver (i.e., made it more profitable to hold gold as bullion and silver as money), nations moved to demonetize silver so as to keep gold in circulation. The rapidness of the transition was the result of the high level of trade and financial interdependence among nations, which served to link them together into a kind of monetary chain gang: transition in any one or several important nations meant that the others were compelled to follow </w:t>
      </w:r>
      <w:r w:rsidRPr="00332D83">
        <w:rPr>
          <w:rFonts w:ascii="Times New Roman" w:hAnsi="Times New Roman" w:cs="Times New Roman"/>
          <w:i/>
          <w:sz w:val="24"/>
          <w:szCs w:val="24"/>
          <w:lang w:val="en-US"/>
        </w:rPr>
        <w:lastRenderedPageBreak/>
        <w:t>along</w:t>
      </w:r>
      <w:r w:rsidR="001F6F50">
        <w:rPr>
          <w:rFonts w:ascii="Times New Roman" w:hAnsi="Times New Roman" w:cs="Times New Roman"/>
          <w:sz w:val="24"/>
          <w:szCs w:val="24"/>
          <w:lang w:val="en-US"/>
        </w:rPr>
        <w:t>”</w:t>
      </w:r>
      <w:r w:rsidRPr="00332D83">
        <w:rPr>
          <w:rFonts w:ascii="Times New Roman" w:hAnsi="Times New Roman" w:cs="Times New Roman"/>
          <w:sz w:val="24"/>
          <w:szCs w:val="24"/>
          <w:lang w:val="en-US"/>
        </w:rPr>
        <w:t xml:space="preserve"> </w:t>
      </w:r>
      <w:r w:rsidR="001F6F50" w:rsidRPr="001F6F50">
        <w:rPr>
          <w:rFonts w:ascii="Times New Roman" w:hAnsi="Times New Roman" w:cs="Times New Roman"/>
          <w:sz w:val="24"/>
          <w:szCs w:val="24"/>
          <w:lang w:val="en-US"/>
        </w:rPr>
        <w:t>(GALAROTTI (1994:142).</w:t>
      </w:r>
      <w:r w:rsidRPr="001F6F50">
        <w:rPr>
          <w:rFonts w:ascii="Times New Roman" w:hAnsi="Times New Roman" w:cs="Times New Roman"/>
          <w:sz w:val="24"/>
          <w:szCs w:val="24"/>
          <w:lang w:val="en-US"/>
        </w:rPr>
        <w:t xml:space="preserve"> </w:t>
      </w:r>
      <w:r w:rsidRPr="00332D83">
        <w:rPr>
          <w:rFonts w:ascii="Times New Roman" w:hAnsi="Times New Roman" w:cs="Times New Roman"/>
          <w:sz w:val="24"/>
          <w:szCs w:val="24"/>
        </w:rPr>
        <w:t>Os países que aderissem</w:t>
      </w:r>
      <w:r w:rsidR="001C5C5C" w:rsidRPr="00332D83">
        <w:rPr>
          <w:rFonts w:ascii="Times New Roman" w:hAnsi="Times New Roman" w:cs="Times New Roman"/>
          <w:sz w:val="24"/>
          <w:szCs w:val="24"/>
        </w:rPr>
        <w:t xml:space="preserve"> ao padrão ouro</w:t>
      </w:r>
      <w:r w:rsidRPr="00332D83">
        <w:rPr>
          <w:rFonts w:ascii="Times New Roman" w:hAnsi="Times New Roman" w:cs="Times New Roman"/>
          <w:sz w:val="24"/>
          <w:szCs w:val="24"/>
        </w:rPr>
        <w:t xml:space="preserve"> por último sofreriam mais a pressão de especuladores sobre </w:t>
      </w:r>
      <w:r w:rsidR="0067067A" w:rsidRPr="00332D83">
        <w:rPr>
          <w:rFonts w:ascii="Times New Roman" w:hAnsi="Times New Roman" w:cs="Times New Roman"/>
          <w:sz w:val="24"/>
          <w:szCs w:val="24"/>
        </w:rPr>
        <w:t>su</w:t>
      </w:r>
      <w:r w:rsidRPr="00332D83">
        <w:rPr>
          <w:rFonts w:ascii="Times New Roman" w:hAnsi="Times New Roman" w:cs="Times New Roman"/>
          <w:sz w:val="24"/>
          <w:szCs w:val="24"/>
        </w:rPr>
        <w:t>as paridades fixas entre os dois metais.</w:t>
      </w:r>
      <w:r w:rsidR="0067067A" w:rsidRPr="00332D83">
        <w:rPr>
          <w:rFonts w:ascii="Times New Roman" w:hAnsi="Times New Roman" w:cs="Times New Roman"/>
          <w:sz w:val="24"/>
          <w:szCs w:val="24"/>
        </w:rPr>
        <w:t xml:space="preserve"> </w:t>
      </w:r>
      <w:r w:rsidR="00896462" w:rsidRPr="00332D83">
        <w:rPr>
          <w:rFonts w:ascii="Times New Roman" w:hAnsi="Times New Roman" w:cs="Times New Roman"/>
          <w:sz w:val="24"/>
          <w:szCs w:val="24"/>
        </w:rPr>
        <w:t xml:space="preserve">As </w:t>
      </w:r>
      <w:r w:rsidR="0067067A" w:rsidRPr="00332D83">
        <w:rPr>
          <w:rFonts w:ascii="Times New Roman" w:hAnsi="Times New Roman" w:cs="Times New Roman"/>
          <w:sz w:val="24"/>
          <w:szCs w:val="24"/>
        </w:rPr>
        <w:t xml:space="preserve">reservas </w:t>
      </w:r>
      <w:r w:rsidR="00896462" w:rsidRPr="00332D83">
        <w:rPr>
          <w:rFonts w:ascii="Times New Roman" w:hAnsi="Times New Roman" w:cs="Times New Roman"/>
          <w:sz w:val="24"/>
          <w:szCs w:val="24"/>
        </w:rPr>
        <w:t xml:space="preserve">internacionais de seus bancos </w:t>
      </w:r>
      <w:r w:rsidR="00FA2688" w:rsidRPr="00332D83">
        <w:rPr>
          <w:rFonts w:ascii="Times New Roman" w:hAnsi="Times New Roman" w:cs="Times New Roman"/>
          <w:sz w:val="24"/>
          <w:szCs w:val="24"/>
        </w:rPr>
        <w:t>em ouro tenderi</w:t>
      </w:r>
      <w:r w:rsidR="0067067A" w:rsidRPr="00332D83">
        <w:rPr>
          <w:rFonts w:ascii="Times New Roman" w:hAnsi="Times New Roman" w:cs="Times New Roman"/>
          <w:sz w:val="24"/>
          <w:szCs w:val="24"/>
        </w:rPr>
        <w:t>am a se exaurir</w:t>
      </w:r>
      <w:r w:rsidR="00CC5C14" w:rsidRPr="00332D83">
        <w:rPr>
          <w:rFonts w:ascii="Times New Roman" w:hAnsi="Times New Roman" w:cs="Times New Roman"/>
          <w:sz w:val="24"/>
          <w:szCs w:val="24"/>
        </w:rPr>
        <w:t xml:space="preserve"> pela excessiva entrada de prata </w:t>
      </w:r>
      <w:r w:rsidR="00FA2688" w:rsidRPr="00332D83">
        <w:rPr>
          <w:rFonts w:ascii="Times New Roman" w:hAnsi="Times New Roman" w:cs="Times New Roman"/>
          <w:sz w:val="24"/>
          <w:szCs w:val="24"/>
        </w:rPr>
        <w:t>desmonetizada por</w:t>
      </w:r>
      <w:r w:rsidR="00CC5C14" w:rsidRPr="00332D83">
        <w:rPr>
          <w:rFonts w:ascii="Times New Roman" w:hAnsi="Times New Roman" w:cs="Times New Roman"/>
          <w:sz w:val="24"/>
          <w:szCs w:val="24"/>
        </w:rPr>
        <w:t xml:space="preserve"> seus parceiros</w:t>
      </w:r>
      <w:r w:rsidR="0067067A" w:rsidRPr="00332D83">
        <w:rPr>
          <w:rFonts w:ascii="Times New Roman" w:hAnsi="Times New Roman" w:cs="Times New Roman"/>
          <w:sz w:val="24"/>
          <w:szCs w:val="24"/>
        </w:rPr>
        <w:t>.</w:t>
      </w:r>
      <w:r w:rsidR="00E37E29" w:rsidRPr="00332D83">
        <w:rPr>
          <w:rFonts w:ascii="Times New Roman" w:hAnsi="Times New Roman" w:cs="Times New Roman"/>
          <w:sz w:val="24"/>
          <w:szCs w:val="24"/>
        </w:rPr>
        <w:t xml:space="preserve"> </w:t>
      </w:r>
    </w:p>
    <w:p w:rsidR="00C01C53" w:rsidRPr="00332D83" w:rsidRDefault="001C5C5C"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Durante o </w:t>
      </w:r>
      <w:r w:rsidR="00E37E29" w:rsidRPr="00332D83">
        <w:rPr>
          <w:rFonts w:ascii="Times New Roman" w:hAnsi="Times New Roman" w:cs="Times New Roman"/>
          <w:sz w:val="24"/>
          <w:szCs w:val="24"/>
        </w:rPr>
        <w:t>padrão ouro</w:t>
      </w:r>
      <w:r w:rsidR="00896462" w:rsidRPr="00332D83">
        <w:rPr>
          <w:rFonts w:ascii="Times New Roman" w:hAnsi="Times New Roman" w:cs="Times New Roman"/>
          <w:sz w:val="24"/>
          <w:szCs w:val="24"/>
        </w:rPr>
        <w:t xml:space="preserve">, </w:t>
      </w:r>
      <w:r w:rsidR="008478F3" w:rsidRPr="00332D83">
        <w:rPr>
          <w:rFonts w:ascii="Times New Roman" w:hAnsi="Times New Roman" w:cs="Times New Roman"/>
          <w:sz w:val="24"/>
          <w:szCs w:val="24"/>
        </w:rPr>
        <w:t>o financiamento e a liquidação das</w:t>
      </w:r>
      <w:r w:rsidR="00E37E29" w:rsidRPr="00332D83">
        <w:rPr>
          <w:rFonts w:ascii="Times New Roman" w:hAnsi="Times New Roman" w:cs="Times New Roman"/>
          <w:sz w:val="24"/>
          <w:szCs w:val="24"/>
        </w:rPr>
        <w:t xml:space="preserve"> transações internacionais</w:t>
      </w:r>
      <w:r w:rsidR="00896462" w:rsidRPr="00332D83">
        <w:rPr>
          <w:rFonts w:ascii="Times New Roman" w:hAnsi="Times New Roman" w:cs="Times New Roman"/>
          <w:sz w:val="24"/>
          <w:szCs w:val="24"/>
        </w:rPr>
        <w:t xml:space="preserve"> </w:t>
      </w:r>
      <w:r w:rsidR="008478F3" w:rsidRPr="00332D83">
        <w:rPr>
          <w:rFonts w:ascii="Times New Roman" w:hAnsi="Times New Roman" w:cs="Times New Roman"/>
          <w:sz w:val="24"/>
          <w:szCs w:val="24"/>
        </w:rPr>
        <w:t xml:space="preserve">(comerciais e de investimento) </w:t>
      </w:r>
      <w:r w:rsidR="00C01C53" w:rsidRPr="00332D83">
        <w:rPr>
          <w:rFonts w:ascii="Times New Roman" w:hAnsi="Times New Roman" w:cs="Times New Roman"/>
          <w:sz w:val="24"/>
          <w:szCs w:val="24"/>
        </w:rPr>
        <w:t>foram efetivad</w:t>
      </w:r>
      <w:r w:rsidR="00B57EF6" w:rsidRPr="00332D83">
        <w:rPr>
          <w:rFonts w:ascii="Times New Roman" w:hAnsi="Times New Roman" w:cs="Times New Roman"/>
          <w:sz w:val="24"/>
          <w:szCs w:val="24"/>
        </w:rPr>
        <w:t>o</w:t>
      </w:r>
      <w:r w:rsidR="00C01C53" w:rsidRPr="00332D83">
        <w:rPr>
          <w:rFonts w:ascii="Times New Roman" w:hAnsi="Times New Roman" w:cs="Times New Roman"/>
          <w:sz w:val="24"/>
          <w:szCs w:val="24"/>
        </w:rPr>
        <w:t>s</w:t>
      </w:r>
      <w:r w:rsidR="00E37E29" w:rsidRPr="00332D83">
        <w:rPr>
          <w:rFonts w:ascii="Times New Roman" w:hAnsi="Times New Roman" w:cs="Times New Roman"/>
          <w:sz w:val="24"/>
          <w:szCs w:val="24"/>
        </w:rPr>
        <w:t xml:space="preserve"> </w:t>
      </w:r>
      <w:r w:rsidR="00B57EF6" w:rsidRPr="00332D83">
        <w:rPr>
          <w:rFonts w:ascii="Times New Roman" w:hAnsi="Times New Roman" w:cs="Times New Roman"/>
          <w:sz w:val="24"/>
          <w:szCs w:val="24"/>
        </w:rPr>
        <w:t>em grande parte</w:t>
      </w:r>
      <w:r w:rsidR="00896462" w:rsidRPr="00332D83">
        <w:rPr>
          <w:rFonts w:ascii="Times New Roman" w:hAnsi="Times New Roman" w:cs="Times New Roman"/>
          <w:sz w:val="24"/>
          <w:szCs w:val="24"/>
        </w:rPr>
        <w:t xml:space="preserve"> </w:t>
      </w:r>
      <w:r w:rsidR="00E37E29" w:rsidRPr="00332D83">
        <w:rPr>
          <w:rFonts w:ascii="Times New Roman" w:hAnsi="Times New Roman" w:cs="Times New Roman"/>
          <w:sz w:val="24"/>
          <w:szCs w:val="24"/>
        </w:rPr>
        <w:t>através de</w:t>
      </w:r>
      <w:r w:rsidR="00DE2EB6" w:rsidRPr="00332D83">
        <w:rPr>
          <w:rFonts w:ascii="Times New Roman" w:hAnsi="Times New Roman" w:cs="Times New Roman"/>
          <w:sz w:val="24"/>
          <w:szCs w:val="24"/>
        </w:rPr>
        <w:t xml:space="preserve"> instrumentos de crédito privado </w:t>
      </w:r>
      <w:r w:rsidR="008755BE" w:rsidRPr="00332D83">
        <w:rPr>
          <w:rFonts w:ascii="Times New Roman" w:hAnsi="Times New Roman" w:cs="Times New Roman"/>
          <w:sz w:val="24"/>
          <w:szCs w:val="24"/>
        </w:rPr>
        <w:t>-</w:t>
      </w:r>
      <w:r w:rsidR="00DE2EB6" w:rsidRPr="00332D83">
        <w:rPr>
          <w:rFonts w:ascii="Times New Roman" w:hAnsi="Times New Roman" w:cs="Times New Roman"/>
          <w:sz w:val="24"/>
          <w:szCs w:val="24"/>
        </w:rPr>
        <w:t xml:space="preserve"> como </w:t>
      </w:r>
      <w:r w:rsidR="007C0ADF" w:rsidRPr="00332D83">
        <w:rPr>
          <w:rFonts w:ascii="Times New Roman" w:hAnsi="Times New Roman" w:cs="Times New Roman"/>
          <w:sz w:val="24"/>
          <w:szCs w:val="24"/>
        </w:rPr>
        <w:t xml:space="preserve">as </w:t>
      </w:r>
      <w:r w:rsidR="00DE2EB6" w:rsidRPr="00332D83">
        <w:rPr>
          <w:rFonts w:ascii="Times New Roman" w:hAnsi="Times New Roman" w:cs="Times New Roman"/>
          <w:sz w:val="24"/>
          <w:szCs w:val="24"/>
        </w:rPr>
        <w:t>letras de câmbio. O principal mercado desses títulos era Londres e a unidade de conta desses papéis era a libra esterlina.</w:t>
      </w:r>
      <w:r w:rsidR="00396089" w:rsidRPr="00332D83">
        <w:rPr>
          <w:rFonts w:ascii="Times New Roman" w:hAnsi="Times New Roman" w:cs="Times New Roman"/>
          <w:sz w:val="24"/>
          <w:szCs w:val="24"/>
        </w:rPr>
        <w:t xml:space="preserve"> A City era </w:t>
      </w:r>
      <w:r w:rsidR="00E37E29" w:rsidRPr="00332D83">
        <w:rPr>
          <w:rFonts w:ascii="Times New Roman" w:hAnsi="Times New Roman" w:cs="Times New Roman"/>
          <w:sz w:val="24"/>
          <w:szCs w:val="24"/>
        </w:rPr>
        <w:t>o centro natural d</w:t>
      </w:r>
      <w:r w:rsidRPr="00332D83">
        <w:rPr>
          <w:rFonts w:ascii="Times New Roman" w:hAnsi="Times New Roman" w:cs="Times New Roman"/>
          <w:sz w:val="24"/>
          <w:szCs w:val="24"/>
        </w:rPr>
        <w:t>essas</w:t>
      </w:r>
      <w:r w:rsidR="00E37E29" w:rsidRPr="00332D83">
        <w:rPr>
          <w:rFonts w:ascii="Times New Roman" w:hAnsi="Times New Roman" w:cs="Times New Roman"/>
          <w:sz w:val="24"/>
          <w:szCs w:val="24"/>
        </w:rPr>
        <w:t xml:space="preserve"> operações</w:t>
      </w:r>
      <w:r w:rsidR="00C01C53" w:rsidRPr="00332D83">
        <w:rPr>
          <w:rFonts w:ascii="Times New Roman" w:hAnsi="Times New Roman" w:cs="Times New Roman"/>
          <w:sz w:val="24"/>
          <w:szCs w:val="24"/>
        </w:rPr>
        <w:t xml:space="preserve"> internacionais</w:t>
      </w:r>
      <w:r w:rsidR="007C0ADF" w:rsidRPr="00332D83">
        <w:rPr>
          <w:rFonts w:ascii="Times New Roman" w:hAnsi="Times New Roman" w:cs="Times New Roman"/>
          <w:sz w:val="24"/>
          <w:szCs w:val="24"/>
        </w:rPr>
        <w:t xml:space="preserve"> e </w:t>
      </w:r>
      <w:r w:rsidR="00C01C53" w:rsidRPr="00332D83">
        <w:rPr>
          <w:rFonts w:ascii="Times New Roman" w:hAnsi="Times New Roman" w:cs="Times New Roman"/>
          <w:sz w:val="24"/>
          <w:szCs w:val="24"/>
        </w:rPr>
        <w:t xml:space="preserve">provia serviços financeiros para todo o mundo da forma mais eficiente e barata. Com o tempo, os títulos comerciais ingleses se tornaram </w:t>
      </w:r>
      <w:r w:rsidRPr="00332D83">
        <w:rPr>
          <w:rFonts w:ascii="Times New Roman" w:hAnsi="Times New Roman" w:cs="Times New Roman"/>
          <w:sz w:val="24"/>
          <w:szCs w:val="24"/>
        </w:rPr>
        <w:t>tão líquidos e seguros que passaram a ser</w:t>
      </w:r>
      <w:r w:rsidR="00C01C53" w:rsidRPr="00332D83">
        <w:rPr>
          <w:rFonts w:ascii="Times New Roman" w:hAnsi="Times New Roman" w:cs="Times New Roman"/>
          <w:sz w:val="24"/>
          <w:szCs w:val="24"/>
        </w:rPr>
        <w:t xml:space="preserve"> utilizados como ativos financeiros, chegando mesmo a serem demandados como instrumentos de reserva pelos bancos. Mesmo assim, marcos e francos eram também </w:t>
      </w:r>
      <w:r w:rsidR="008478F3" w:rsidRPr="00332D83">
        <w:rPr>
          <w:rFonts w:ascii="Times New Roman" w:hAnsi="Times New Roman" w:cs="Times New Roman"/>
          <w:sz w:val="24"/>
          <w:szCs w:val="24"/>
        </w:rPr>
        <w:t xml:space="preserve">amplamente </w:t>
      </w:r>
      <w:r w:rsidR="00C01C53" w:rsidRPr="00332D83">
        <w:rPr>
          <w:rFonts w:ascii="Times New Roman" w:hAnsi="Times New Roman" w:cs="Times New Roman"/>
          <w:sz w:val="24"/>
          <w:szCs w:val="24"/>
        </w:rPr>
        <w:t xml:space="preserve">utilizados, inclusive rivalizando com a libra </w:t>
      </w:r>
      <w:r w:rsidRPr="00332D83">
        <w:rPr>
          <w:rFonts w:ascii="Times New Roman" w:hAnsi="Times New Roman" w:cs="Times New Roman"/>
          <w:sz w:val="24"/>
          <w:szCs w:val="24"/>
        </w:rPr>
        <w:t>nos mercados do</w:t>
      </w:r>
      <w:r w:rsidR="00C01C53" w:rsidRPr="00332D83">
        <w:rPr>
          <w:rFonts w:ascii="Times New Roman" w:hAnsi="Times New Roman" w:cs="Times New Roman"/>
          <w:sz w:val="24"/>
          <w:szCs w:val="24"/>
        </w:rPr>
        <w:t xml:space="preserve"> continente europeu.</w:t>
      </w:r>
    </w:p>
    <w:p w:rsidR="00FA2688" w:rsidRPr="00332D83" w:rsidRDefault="00C01C53"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A forte presença da libra, no entanto, </w:t>
      </w:r>
      <w:r w:rsidR="00D5790F" w:rsidRPr="00332D83">
        <w:rPr>
          <w:rFonts w:ascii="Times New Roman" w:hAnsi="Times New Roman" w:cs="Times New Roman"/>
          <w:sz w:val="24"/>
          <w:szCs w:val="24"/>
        </w:rPr>
        <w:t>não significa dizer que</w:t>
      </w:r>
      <w:r w:rsidR="00FA2688" w:rsidRPr="00332D83">
        <w:rPr>
          <w:rFonts w:ascii="Times New Roman" w:hAnsi="Times New Roman" w:cs="Times New Roman"/>
          <w:sz w:val="24"/>
          <w:szCs w:val="24"/>
        </w:rPr>
        <w:t xml:space="preserve"> o ouro</w:t>
      </w:r>
      <w:r w:rsidR="00D5790F" w:rsidRPr="00332D83">
        <w:rPr>
          <w:rFonts w:ascii="Times New Roman" w:hAnsi="Times New Roman" w:cs="Times New Roman"/>
          <w:sz w:val="24"/>
          <w:szCs w:val="24"/>
        </w:rPr>
        <w:t xml:space="preserve"> não tivesse um papel próprio e relevante como </w:t>
      </w:r>
      <w:r w:rsidRPr="00332D83">
        <w:rPr>
          <w:rFonts w:ascii="Times New Roman" w:hAnsi="Times New Roman" w:cs="Times New Roman"/>
          <w:sz w:val="24"/>
          <w:szCs w:val="24"/>
        </w:rPr>
        <w:t xml:space="preserve">moeda reserva internacional. </w:t>
      </w:r>
      <w:r w:rsidR="00572F31" w:rsidRPr="00332D83">
        <w:rPr>
          <w:rFonts w:ascii="Times New Roman" w:hAnsi="Times New Roman" w:cs="Times New Roman"/>
          <w:sz w:val="24"/>
          <w:szCs w:val="24"/>
        </w:rPr>
        <w:t>A maior parte das reservas dos bancos centrais dos 35 países mais relevantes em 1913 era</w:t>
      </w:r>
      <w:r w:rsidR="00E16843">
        <w:rPr>
          <w:rFonts w:ascii="Times New Roman" w:hAnsi="Times New Roman" w:cs="Times New Roman"/>
          <w:sz w:val="24"/>
          <w:szCs w:val="24"/>
        </w:rPr>
        <w:t xml:space="preserve"> </w:t>
      </w:r>
      <w:r w:rsidR="00572F31" w:rsidRPr="00332D83">
        <w:rPr>
          <w:rFonts w:ascii="Times New Roman" w:hAnsi="Times New Roman" w:cs="Times New Roman"/>
          <w:sz w:val="24"/>
          <w:szCs w:val="24"/>
        </w:rPr>
        <w:t xml:space="preserve">composta por barras desse metal (68,1%) e o restante divididos em partes quase iguais entre divisas estrangeiras e </w:t>
      </w:r>
      <w:r w:rsidR="008478F3" w:rsidRPr="00332D83">
        <w:rPr>
          <w:rFonts w:ascii="Times New Roman" w:hAnsi="Times New Roman" w:cs="Times New Roman"/>
          <w:sz w:val="24"/>
          <w:szCs w:val="24"/>
        </w:rPr>
        <w:t xml:space="preserve">estoques de </w:t>
      </w:r>
      <w:r w:rsidR="00572F31" w:rsidRPr="00332D83">
        <w:rPr>
          <w:rFonts w:ascii="Times New Roman" w:hAnsi="Times New Roman" w:cs="Times New Roman"/>
          <w:sz w:val="24"/>
          <w:szCs w:val="24"/>
        </w:rPr>
        <w:t>prata.</w:t>
      </w:r>
      <w:r w:rsidR="00E16843" w:rsidRPr="00E16843">
        <w:rPr>
          <w:rFonts w:ascii="Times New Roman" w:hAnsi="Times New Roman" w:cs="Times New Roman"/>
          <w:sz w:val="24"/>
          <w:szCs w:val="24"/>
        </w:rPr>
        <w:t xml:space="preserve"> </w:t>
      </w:r>
      <w:r w:rsidR="00E16843">
        <w:rPr>
          <w:rFonts w:ascii="Times New Roman" w:hAnsi="Times New Roman" w:cs="Times New Roman"/>
          <w:sz w:val="24"/>
          <w:szCs w:val="24"/>
        </w:rPr>
        <w:t>(</w:t>
      </w:r>
      <w:r w:rsidR="00E16843" w:rsidRPr="00332D83">
        <w:rPr>
          <w:rFonts w:ascii="Times New Roman" w:hAnsi="Times New Roman" w:cs="Times New Roman"/>
          <w:sz w:val="24"/>
          <w:szCs w:val="24"/>
        </w:rPr>
        <w:t>GALAROTTI</w:t>
      </w:r>
      <w:r w:rsidR="00E16843">
        <w:rPr>
          <w:rFonts w:ascii="Times New Roman" w:hAnsi="Times New Roman" w:cs="Times New Roman"/>
          <w:sz w:val="24"/>
          <w:szCs w:val="24"/>
        </w:rPr>
        <w:t xml:space="preserve">, </w:t>
      </w:r>
      <w:r w:rsidR="00E16843" w:rsidRPr="00332D83">
        <w:rPr>
          <w:rFonts w:ascii="Times New Roman" w:hAnsi="Times New Roman" w:cs="Times New Roman"/>
          <w:sz w:val="24"/>
          <w:szCs w:val="24"/>
        </w:rPr>
        <w:t>1995)</w:t>
      </w:r>
      <w:r w:rsidR="00E16843">
        <w:rPr>
          <w:rFonts w:ascii="Times New Roman" w:hAnsi="Times New Roman" w:cs="Times New Roman"/>
          <w:sz w:val="24"/>
          <w:szCs w:val="24"/>
        </w:rPr>
        <w:t>.</w:t>
      </w:r>
      <w:r w:rsidR="00357742" w:rsidRPr="00332D83">
        <w:rPr>
          <w:rFonts w:ascii="Times New Roman" w:hAnsi="Times New Roman" w:cs="Times New Roman"/>
          <w:sz w:val="24"/>
          <w:szCs w:val="24"/>
        </w:rPr>
        <w:t xml:space="preserve"> </w:t>
      </w:r>
      <w:r w:rsidR="008478F3" w:rsidRPr="00332D83">
        <w:rPr>
          <w:rFonts w:ascii="Times New Roman" w:hAnsi="Times New Roman" w:cs="Times New Roman"/>
          <w:sz w:val="24"/>
          <w:szCs w:val="24"/>
        </w:rPr>
        <w:t xml:space="preserve">Do total das reservas em divisas, a libra era a moeda </w:t>
      </w:r>
      <w:r w:rsidR="00357742" w:rsidRPr="00332D83">
        <w:rPr>
          <w:rFonts w:ascii="Times New Roman" w:hAnsi="Times New Roman" w:cs="Times New Roman"/>
          <w:sz w:val="24"/>
          <w:szCs w:val="24"/>
        </w:rPr>
        <w:t xml:space="preserve">mais importante, mas </w:t>
      </w:r>
      <w:r w:rsidR="008478F3" w:rsidRPr="00332D83">
        <w:rPr>
          <w:rFonts w:ascii="Times New Roman" w:hAnsi="Times New Roman" w:cs="Times New Roman"/>
          <w:sz w:val="24"/>
          <w:szCs w:val="24"/>
        </w:rPr>
        <w:t>detida em</w:t>
      </w:r>
      <w:r w:rsidR="00357742" w:rsidRPr="00332D83">
        <w:rPr>
          <w:rFonts w:ascii="Times New Roman" w:hAnsi="Times New Roman" w:cs="Times New Roman"/>
          <w:sz w:val="24"/>
          <w:szCs w:val="24"/>
        </w:rPr>
        <w:t xml:space="preserve"> montante semelhante ao</w:t>
      </w:r>
      <w:r w:rsidR="004E24BA" w:rsidRPr="00332D83">
        <w:rPr>
          <w:rFonts w:ascii="Times New Roman" w:hAnsi="Times New Roman" w:cs="Times New Roman"/>
          <w:sz w:val="24"/>
          <w:szCs w:val="24"/>
        </w:rPr>
        <w:t xml:space="preserve"> conjunto dos</w:t>
      </w:r>
      <w:r w:rsidR="00357742" w:rsidRPr="00332D83">
        <w:rPr>
          <w:rFonts w:ascii="Times New Roman" w:hAnsi="Times New Roman" w:cs="Times New Roman"/>
          <w:sz w:val="24"/>
          <w:szCs w:val="24"/>
        </w:rPr>
        <w:t xml:space="preserve"> valores</w:t>
      </w:r>
      <w:r w:rsidR="00B57EF6" w:rsidRPr="00332D83">
        <w:rPr>
          <w:rFonts w:ascii="Times New Roman" w:hAnsi="Times New Roman" w:cs="Times New Roman"/>
          <w:sz w:val="24"/>
          <w:szCs w:val="24"/>
        </w:rPr>
        <w:t xml:space="preserve"> denomina</w:t>
      </w:r>
      <w:r w:rsidR="004E24BA" w:rsidRPr="00332D83">
        <w:rPr>
          <w:rFonts w:ascii="Times New Roman" w:hAnsi="Times New Roman" w:cs="Times New Roman"/>
          <w:sz w:val="24"/>
          <w:szCs w:val="24"/>
        </w:rPr>
        <w:t>dos</w:t>
      </w:r>
      <w:r w:rsidR="00357742" w:rsidRPr="00332D83">
        <w:rPr>
          <w:rFonts w:ascii="Times New Roman" w:hAnsi="Times New Roman" w:cs="Times New Roman"/>
          <w:sz w:val="24"/>
          <w:szCs w:val="24"/>
        </w:rPr>
        <w:t xml:space="preserve"> em francos e marcos</w:t>
      </w:r>
      <w:r w:rsidR="00B57EF6" w:rsidRPr="00332D83">
        <w:rPr>
          <w:rFonts w:ascii="Times New Roman" w:hAnsi="Times New Roman" w:cs="Times New Roman"/>
          <w:sz w:val="24"/>
          <w:szCs w:val="24"/>
        </w:rPr>
        <w:t>.</w:t>
      </w:r>
      <w:r w:rsidR="00FA2688" w:rsidRPr="00332D83">
        <w:rPr>
          <w:rFonts w:ascii="Times New Roman" w:hAnsi="Times New Roman" w:cs="Times New Roman"/>
          <w:sz w:val="24"/>
          <w:szCs w:val="24"/>
        </w:rPr>
        <w:t xml:space="preserve"> </w:t>
      </w:r>
    </w:p>
    <w:p w:rsidR="00DE2EB6" w:rsidRPr="00332D83" w:rsidRDefault="00572F31"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O ouro era a última reserva do sistema, uma vez esgotadas as disponibilidades em moedas estrangeiras. Estas, por sua vez, tinham sua liquidez baseadas na </w:t>
      </w:r>
      <w:r w:rsidR="00B57EF6" w:rsidRPr="00332D83">
        <w:rPr>
          <w:rFonts w:ascii="Times New Roman" w:hAnsi="Times New Roman" w:cs="Times New Roman"/>
          <w:sz w:val="24"/>
          <w:szCs w:val="24"/>
        </w:rPr>
        <w:t xml:space="preserve">expectativa de </w:t>
      </w:r>
      <w:r w:rsidR="001C5C5C" w:rsidRPr="00332D83">
        <w:rPr>
          <w:rFonts w:ascii="Times New Roman" w:hAnsi="Times New Roman" w:cs="Times New Roman"/>
          <w:sz w:val="24"/>
          <w:szCs w:val="24"/>
        </w:rPr>
        <w:t xml:space="preserve">sua </w:t>
      </w:r>
      <w:r w:rsidRPr="00332D83">
        <w:rPr>
          <w:rFonts w:ascii="Times New Roman" w:hAnsi="Times New Roman" w:cs="Times New Roman"/>
          <w:sz w:val="24"/>
          <w:szCs w:val="24"/>
        </w:rPr>
        <w:t xml:space="preserve">conversibilidade em ouro. O uso do metal em transações internacionais, obviamente, tendia a aumentar nos momentos de </w:t>
      </w:r>
      <w:r w:rsidR="00B57EF6" w:rsidRPr="00332D83">
        <w:rPr>
          <w:rFonts w:ascii="Times New Roman" w:hAnsi="Times New Roman" w:cs="Times New Roman"/>
          <w:sz w:val="24"/>
          <w:szCs w:val="24"/>
        </w:rPr>
        <w:t>crise financeira,</w:t>
      </w:r>
      <w:r w:rsidR="00357742" w:rsidRPr="00332D83">
        <w:rPr>
          <w:rFonts w:ascii="Times New Roman" w:hAnsi="Times New Roman" w:cs="Times New Roman"/>
          <w:sz w:val="24"/>
          <w:szCs w:val="24"/>
        </w:rPr>
        <w:t xml:space="preserve"> que na pratica foram </w:t>
      </w:r>
      <w:r w:rsidR="007C0ADF" w:rsidRPr="00332D83">
        <w:rPr>
          <w:rFonts w:ascii="Times New Roman" w:hAnsi="Times New Roman" w:cs="Times New Roman"/>
          <w:sz w:val="24"/>
          <w:szCs w:val="24"/>
        </w:rPr>
        <w:t xml:space="preserve">eventos </w:t>
      </w:r>
      <w:r w:rsidR="00357742" w:rsidRPr="00332D83">
        <w:rPr>
          <w:rFonts w:ascii="Times New Roman" w:hAnsi="Times New Roman" w:cs="Times New Roman"/>
          <w:sz w:val="24"/>
          <w:szCs w:val="24"/>
        </w:rPr>
        <w:t>pouco comuns entre 1870 e 1914</w:t>
      </w:r>
      <w:r w:rsidR="001C5C5C" w:rsidRPr="00332D83">
        <w:rPr>
          <w:rFonts w:ascii="Times New Roman" w:hAnsi="Times New Roman" w:cs="Times New Roman"/>
          <w:sz w:val="24"/>
          <w:szCs w:val="24"/>
        </w:rPr>
        <w:t>,</w:t>
      </w:r>
      <w:r w:rsidR="00357742" w:rsidRPr="00332D83">
        <w:rPr>
          <w:rFonts w:ascii="Times New Roman" w:hAnsi="Times New Roman" w:cs="Times New Roman"/>
          <w:sz w:val="24"/>
          <w:szCs w:val="24"/>
        </w:rPr>
        <w:t xml:space="preserve"> </w:t>
      </w:r>
      <w:r w:rsidR="004E24BA" w:rsidRPr="00332D83">
        <w:rPr>
          <w:rFonts w:ascii="Times New Roman" w:hAnsi="Times New Roman" w:cs="Times New Roman"/>
          <w:sz w:val="24"/>
          <w:szCs w:val="24"/>
        </w:rPr>
        <w:t>envolvendo</w:t>
      </w:r>
      <w:r w:rsidR="00357742" w:rsidRPr="00332D83">
        <w:rPr>
          <w:rFonts w:ascii="Times New Roman" w:hAnsi="Times New Roman" w:cs="Times New Roman"/>
          <w:sz w:val="24"/>
          <w:szCs w:val="24"/>
        </w:rPr>
        <w:t xml:space="preserve"> grandes centros financeiros do sistema, </w:t>
      </w:r>
      <w:r w:rsidR="004E24BA" w:rsidRPr="00332D83">
        <w:rPr>
          <w:rFonts w:ascii="Times New Roman" w:hAnsi="Times New Roman" w:cs="Times New Roman"/>
          <w:sz w:val="24"/>
          <w:szCs w:val="24"/>
        </w:rPr>
        <w:t>como</w:t>
      </w:r>
      <w:r w:rsidR="00357742" w:rsidRPr="00332D83">
        <w:rPr>
          <w:rFonts w:ascii="Times New Roman" w:hAnsi="Times New Roman" w:cs="Times New Roman"/>
          <w:sz w:val="24"/>
          <w:szCs w:val="24"/>
        </w:rPr>
        <w:t xml:space="preserve"> Londres, Paris, Berlim e Nova Iorque.</w:t>
      </w:r>
    </w:p>
    <w:p w:rsidR="00D42F37" w:rsidRPr="00332D83" w:rsidRDefault="00BD5D7E" w:rsidP="00276F21">
      <w:pPr>
        <w:spacing w:line="240" w:lineRule="auto"/>
        <w:jc w:val="both"/>
        <w:rPr>
          <w:rFonts w:ascii="Times New Roman" w:hAnsi="Times New Roman" w:cs="Times New Roman"/>
          <w:color w:val="FF0000"/>
          <w:sz w:val="24"/>
          <w:szCs w:val="24"/>
        </w:rPr>
      </w:pPr>
      <w:r w:rsidRPr="00332D83">
        <w:rPr>
          <w:rFonts w:ascii="Times New Roman" w:hAnsi="Times New Roman" w:cs="Times New Roman"/>
          <w:sz w:val="24"/>
          <w:szCs w:val="24"/>
        </w:rPr>
        <w:t>Por fim, o papel dos bancos centrais nas transações internacionais era muito pequeno frente aos volumes transacionados pelo setor p</w:t>
      </w:r>
      <w:r w:rsidR="001C5C5C" w:rsidRPr="00332D83">
        <w:rPr>
          <w:rFonts w:ascii="Times New Roman" w:hAnsi="Times New Roman" w:cs="Times New Roman"/>
          <w:sz w:val="24"/>
          <w:szCs w:val="24"/>
        </w:rPr>
        <w:t xml:space="preserve">rivado. O ambiente era </w:t>
      </w:r>
      <w:r w:rsidRPr="00332D83">
        <w:rPr>
          <w:rFonts w:ascii="Times New Roman" w:hAnsi="Times New Roman" w:cs="Times New Roman"/>
          <w:sz w:val="24"/>
          <w:szCs w:val="24"/>
        </w:rPr>
        <w:t xml:space="preserve">muito desregulado deixando plena liberdade de ação para os atores privados. </w:t>
      </w:r>
      <w:r w:rsidR="0039320A" w:rsidRPr="00332D83">
        <w:rPr>
          <w:rFonts w:ascii="Times New Roman" w:hAnsi="Times New Roman" w:cs="Times New Roman"/>
          <w:sz w:val="24"/>
          <w:szCs w:val="24"/>
        </w:rPr>
        <w:t xml:space="preserve">O manejo das autoridades monetárias, em geral, era feito através de instrumentos de mercado como as taxas de desconto </w:t>
      </w:r>
      <w:r w:rsidR="001C5C5C" w:rsidRPr="00332D83">
        <w:rPr>
          <w:rFonts w:ascii="Times New Roman" w:hAnsi="Times New Roman" w:cs="Times New Roman"/>
          <w:sz w:val="24"/>
          <w:szCs w:val="24"/>
        </w:rPr>
        <w:t>e o</w:t>
      </w:r>
      <w:r w:rsidR="0039320A" w:rsidRPr="00332D83">
        <w:rPr>
          <w:rFonts w:ascii="Times New Roman" w:hAnsi="Times New Roman" w:cs="Times New Roman"/>
          <w:sz w:val="24"/>
          <w:szCs w:val="24"/>
        </w:rPr>
        <w:t xml:space="preserve"> preço do ouro</w:t>
      </w:r>
      <w:r w:rsidR="001F6F50">
        <w:rPr>
          <w:rFonts w:ascii="Times New Roman" w:hAnsi="Times New Roman" w:cs="Times New Roman"/>
          <w:sz w:val="24"/>
          <w:szCs w:val="24"/>
        </w:rPr>
        <w:t>.</w:t>
      </w:r>
    </w:p>
    <w:p w:rsidR="00733F79" w:rsidRPr="00332D83" w:rsidRDefault="0039320A" w:rsidP="00276F21">
      <w:pPr>
        <w:spacing w:line="240" w:lineRule="auto"/>
        <w:jc w:val="both"/>
        <w:rPr>
          <w:rFonts w:ascii="Times New Roman" w:hAnsi="Times New Roman" w:cs="Times New Roman"/>
          <w:color w:val="000000" w:themeColor="text1"/>
          <w:sz w:val="24"/>
          <w:szCs w:val="24"/>
          <w:lang w:val="en-US"/>
        </w:rPr>
      </w:pPr>
      <w:r w:rsidRPr="00332D83">
        <w:rPr>
          <w:rFonts w:ascii="Times New Roman" w:hAnsi="Times New Roman" w:cs="Times New Roman"/>
          <w:color w:val="000000" w:themeColor="text1"/>
          <w:sz w:val="24"/>
          <w:szCs w:val="24"/>
        </w:rPr>
        <w:t>Em suma, o padrão ouro não se constituiu</w:t>
      </w:r>
      <w:r w:rsidR="001C5C5C" w:rsidRPr="00332D83">
        <w:rPr>
          <w:rFonts w:ascii="Times New Roman" w:hAnsi="Times New Roman" w:cs="Times New Roman"/>
          <w:color w:val="000000" w:themeColor="text1"/>
          <w:sz w:val="24"/>
          <w:szCs w:val="24"/>
        </w:rPr>
        <w:t xml:space="preserve"> a partir do poder </w:t>
      </w:r>
      <w:r w:rsidR="00FA2688" w:rsidRPr="00332D83">
        <w:rPr>
          <w:rFonts w:ascii="Times New Roman" w:hAnsi="Times New Roman" w:cs="Times New Roman"/>
          <w:color w:val="000000" w:themeColor="text1"/>
          <w:sz w:val="24"/>
          <w:szCs w:val="24"/>
        </w:rPr>
        <w:t xml:space="preserve">monetário </w:t>
      </w:r>
      <w:r w:rsidR="001C5C5C" w:rsidRPr="00332D83">
        <w:rPr>
          <w:rFonts w:ascii="Times New Roman" w:hAnsi="Times New Roman" w:cs="Times New Roman"/>
          <w:color w:val="000000" w:themeColor="text1"/>
          <w:sz w:val="24"/>
          <w:szCs w:val="24"/>
        </w:rPr>
        <w:t>estrutural inglês</w:t>
      </w:r>
      <w:r w:rsidR="00FA2688" w:rsidRPr="00332D83">
        <w:rPr>
          <w:rFonts w:ascii="Times New Roman" w:hAnsi="Times New Roman" w:cs="Times New Roman"/>
          <w:color w:val="000000" w:themeColor="text1"/>
          <w:sz w:val="24"/>
          <w:szCs w:val="24"/>
        </w:rPr>
        <w:t>. N</w:t>
      </w:r>
      <w:r w:rsidR="001C5C5C" w:rsidRPr="00332D83">
        <w:rPr>
          <w:rFonts w:ascii="Times New Roman" w:hAnsi="Times New Roman" w:cs="Times New Roman"/>
          <w:color w:val="000000" w:themeColor="text1"/>
          <w:sz w:val="24"/>
          <w:szCs w:val="24"/>
        </w:rPr>
        <w:t xml:space="preserve">em </w:t>
      </w:r>
      <w:r w:rsidR="00B57EF6" w:rsidRPr="00332D83">
        <w:rPr>
          <w:rFonts w:ascii="Times New Roman" w:hAnsi="Times New Roman" w:cs="Times New Roman"/>
          <w:color w:val="000000" w:themeColor="text1"/>
          <w:sz w:val="24"/>
          <w:szCs w:val="24"/>
        </w:rPr>
        <w:t xml:space="preserve">se </w:t>
      </w:r>
      <w:r w:rsidR="00E611B5">
        <w:rPr>
          <w:rFonts w:ascii="Times New Roman" w:hAnsi="Times New Roman" w:cs="Times New Roman"/>
          <w:color w:val="000000" w:themeColor="text1"/>
          <w:sz w:val="24"/>
          <w:szCs w:val="24"/>
        </w:rPr>
        <w:t>serviu de</w:t>
      </w:r>
      <w:r w:rsidR="0055273B" w:rsidRPr="00332D83">
        <w:rPr>
          <w:rFonts w:ascii="Times New Roman" w:hAnsi="Times New Roman" w:cs="Times New Roman"/>
          <w:color w:val="000000" w:themeColor="text1"/>
          <w:sz w:val="24"/>
          <w:szCs w:val="24"/>
        </w:rPr>
        <w:t xml:space="preserve"> base </w:t>
      </w:r>
      <w:r w:rsidR="008478F3" w:rsidRPr="00332D83">
        <w:rPr>
          <w:rFonts w:ascii="Times New Roman" w:hAnsi="Times New Roman" w:cs="Times New Roman"/>
          <w:color w:val="000000" w:themeColor="text1"/>
          <w:sz w:val="24"/>
          <w:szCs w:val="24"/>
        </w:rPr>
        <w:t>para o</w:t>
      </w:r>
      <w:r w:rsidRPr="00332D83">
        <w:rPr>
          <w:rFonts w:ascii="Times New Roman" w:hAnsi="Times New Roman" w:cs="Times New Roman"/>
          <w:color w:val="000000" w:themeColor="text1"/>
          <w:sz w:val="24"/>
          <w:szCs w:val="24"/>
        </w:rPr>
        <w:t xml:space="preserve"> exercício de poder monetário </w:t>
      </w:r>
      <w:r w:rsidR="001C5C5C" w:rsidRPr="00332D83">
        <w:rPr>
          <w:rFonts w:ascii="Times New Roman" w:hAnsi="Times New Roman" w:cs="Times New Roman"/>
          <w:color w:val="000000" w:themeColor="text1"/>
          <w:sz w:val="24"/>
          <w:szCs w:val="24"/>
        </w:rPr>
        <w:t>da Inglaterra sobre seus rivais</w:t>
      </w:r>
      <w:r w:rsidRPr="00332D83">
        <w:rPr>
          <w:rFonts w:ascii="Times New Roman" w:hAnsi="Times New Roman" w:cs="Times New Roman"/>
          <w:color w:val="000000" w:themeColor="text1"/>
          <w:sz w:val="24"/>
          <w:szCs w:val="24"/>
        </w:rPr>
        <w:t xml:space="preserve">. Sua existência decorreu da adesão </w:t>
      </w:r>
      <w:r w:rsidR="0055273B" w:rsidRPr="00332D83">
        <w:rPr>
          <w:rFonts w:ascii="Times New Roman" w:hAnsi="Times New Roman" w:cs="Times New Roman"/>
          <w:color w:val="000000" w:themeColor="text1"/>
          <w:sz w:val="24"/>
          <w:szCs w:val="24"/>
        </w:rPr>
        <w:t xml:space="preserve">não coercitiva </w:t>
      </w:r>
      <w:r w:rsidRPr="00332D83">
        <w:rPr>
          <w:rFonts w:ascii="Times New Roman" w:hAnsi="Times New Roman" w:cs="Times New Roman"/>
          <w:color w:val="000000" w:themeColor="text1"/>
          <w:sz w:val="24"/>
          <w:szCs w:val="24"/>
        </w:rPr>
        <w:t>dos demais países relevantes ao sistema que já era praticad</w:t>
      </w:r>
      <w:r w:rsidR="00261F8F" w:rsidRPr="00332D83">
        <w:rPr>
          <w:rFonts w:ascii="Times New Roman" w:hAnsi="Times New Roman" w:cs="Times New Roman"/>
          <w:color w:val="000000" w:themeColor="text1"/>
          <w:sz w:val="24"/>
          <w:szCs w:val="24"/>
        </w:rPr>
        <w:t>o</w:t>
      </w:r>
      <w:r w:rsidRPr="00332D83">
        <w:rPr>
          <w:rFonts w:ascii="Times New Roman" w:hAnsi="Times New Roman" w:cs="Times New Roman"/>
          <w:color w:val="000000" w:themeColor="text1"/>
          <w:sz w:val="24"/>
          <w:szCs w:val="24"/>
        </w:rPr>
        <w:t xml:space="preserve"> na Inglaterra há décadas. </w:t>
      </w:r>
      <w:r w:rsidR="0055273B" w:rsidRPr="00332D83">
        <w:rPr>
          <w:rFonts w:ascii="Times New Roman" w:hAnsi="Times New Roman" w:cs="Times New Roman"/>
          <w:color w:val="000000" w:themeColor="text1"/>
          <w:sz w:val="24"/>
          <w:szCs w:val="24"/>
        </w:rPr>
        <w:t>Essa</w:t>
      </w:r>
      <w:r w:rsidR="001C5C5C" w:rsidRPr="00332D83">
        <w:rPr>
          <w:rFonts w:ascii="Times New Roman" w:hAnsi="Times New Roman" w:cs="Times New Roman"/>
          <w:color w:val="000000" w:themeColor="text1"/>
          <w:sz w:val="24"/>
          <w:szCs w:val="24"/>
        </w:rPr>
        <w:t>s</w:t>
      </w:r>
      <w:r w:rsidR="0055273B" w:rsidRPr="00332D83">
        <w:rPr>
          <w:rFonts w:ascii="Times New Roman" w:hAnsi="Times New Roman" w:cs="Times New Roman"/>
          <w:color w:val="000000" w:themeColor="text1"/>
          <w:sz w:val="24"/>
          <w:szCs w:val="24"/>
        </w:rPr>
        <w:t xml:space="preserve"> iniciativa</w:t>
      </w:r>
      <w:r w:rsidR="001C5C5C" w:rsidRPr="00332D83">
        <w:rPr>
          <w:rFonts w:ascii="Times New Roman" w:hAnsi="Times New Roman" w:cs="Times New Roman"/>
          <w:color w:val="000000" w:themeColor="text1"/>
          <w:sz w:val="24"/>
          <w:szCs w:val="24"/>
        </w:rPr>
        <w:t>s</w:t>
      </w:r>
      <w:r w:rsidR="0055273B" w:rsidRPr="00332D83">
        <w:rPr>
          <w:rFonts w:ascii="Times New Roman" w:hAnsi="Times New Roman" w:cs="Times New Roman"/>
          <w:color w:val="000000" w:themeColor="text1"/>
          <w:sz w:val="24"/>
          <w:szCs w:val="24"/>
        </w:rPr>
        <w:t xml:space="preserve"> fo</w:t>
      </w:r>
      <w:r w:rsidR="001C5C5C" w:rsidRPr="00332D83">
        <w:rPr>
          <w:rFonts w:ascii="Times New Roman" w:hAnsi="Times New Roman" w:cs="Times New Roman"/>
          <w:color w:val="000000" w:themeColor="text1"/>
          <w:sz w:val="24"/>
          <w:szCs w:val="24"/>
        </w:rPr>
        <w:t>ram</w:t>
      </w:r>
      <w:r w:rsidR="0055273B" w:rsidRPr="00332D83">
        <w:rPr>
          <w:rFonts w:ascii="Times New Roman" w:hAnsi="Times New Roman" w:cs="Times New Roman"/>
          <w:color w:val="000000" w:themeColor="text1"/>
          <w:sz w:val="24"/>
          <w:szCs w:val="24"/>
        </w:rPr>
        <w:t xml:space="preserve"> voluntária</w:t>
      </w:r>
      <w:r w:rsidR="001C5C5C" w:rsidRPr="00332D83">
        <w:rPr>
          <w:rFonts w:ascii="Times New Roman" w:hAnsi="Times New Roman" w:cs="Times New Roman"/>
          <w:color w:val="000000" w:themeColor="text1"/>
          <w:sz w:val="24"/>
          <w:szCs w:val="24"/>
        </w:rPr>
        <w:t>s</w:t>
      </w:r>
      <w:r w:rsidR="00DF775C" w:rsidRPr="00332D83">
        <w:rPr>
          <w:rFonts w:ascii="Times New Roman" w:hAnsi="Times New Roman" w:cs="Times New Roman"/>
          <w:color w:val="000000" w:themeColor="text1"/>
          <w:sz w:val="24"/>
          <w:szCs w:val="24"/>
        </w:rPr>
        <w:t>,</w:t>
      </w:r>
      <w:r w:rsidR="0055273B" w:rsidRPr="00332D83">
        <w:rPr>
          <w:rFonts w:ascii="Times New Roman" w:hAnsi="Times New Roman" w:cs="Times New Roman"/>
          <w:color w:val="000000" w:themeColor="text1"/>
          <w:sz w:val="24"/>
          <w:szCs w:val="24"/>
        </w:rPr>
        <w:t xml:space="preserve"> em busca de integrar </w:t>
      </w:r>
      <w:r w:rsidR="00B57EF6" w:rsidRPr="00332D83">
        <w:rPr>
          <w:rFonts w:ascii="Times New Roman" w:hAnsi="Times New Roman" w:cs="Times New Roman"/>
          <w:color w:val="000000" w:themeColor="text1"/>
          <w:sz w:val="24"/>
          <w:szCs w:val="24"/>
        </w:rPr>
        <w:t xml:space="preserve">os </w:t>
      </w:r>
      <w:r w:rsidR="001C5C5C" w:rsidRPr="00332D83">
        <w:rPr>
          <w:rFonts w:ascii="Times New Roman" w:hAnsi="Times New Roman" w:cs="Times New Roman"/>
          <w:color w:val="000000" w:themeColor="text1"/>
          <w:sz w:val="24"/>
          <w:szCs w:val="24"/>
        </w:rPr>
        <w:t>diferentes</w:t>
      </w:r>
      <w:r w:rsidR="0055273B" w:rsidRPr="00332D83">
        <w:rPr>
          <w:rFonts w:ascii="Times New Roman" w:hAnsi="Times New Roman" w:cs="Times New Roman"/>
          <w:color w:val="000000" w:themeColor="text1"/>
          <w:sz w:val="24"/>
          <w:szCs w:val="24"/>
        </w:rPr>
        <w:t xml:space="preserve"> sistemas monetários e financeiros </w:t>
      </w:r>
      <w:r w:rsidR="001C5C5C" w:rsidRPr="00332D83">
        <w:rPr>
          <w:rFonts w:ascii="Times New Roman" w:hAnsi="Times New Roman" w:cs="Times New Roman"/>
          <w:color w:val="000000" w:themeColor="text1"/>
          <w:sz w:val="24"/>
          <w:szCs w:val="24"/>
        </w:rPr>
        <w:t xml:space="preserve">nacionais </w:t>
      </w:r>
      <w:r w:rsidR="0055273B" w:rsidRPr="00332D83">
        <w:rPr>
          <w:rFonts w:ascii="Times New Roman" w:hAnsi="Times New Roman" w:cs="Times New Roman"/>
          <w:color w:val="000000" w:themeColor="text1"/>
          <w:sz w:val="24"/>
          <w:szCs w:val="24"/>
        </w:rPr>
        <w:t>nascentes ao centro financeiro principal, Londres, e à moeda</w:t>
      </w:r>
      <w:r w:rsidR="007C0ADF" w:rsidRPr="00332D83">
        <w:rPr>
          <w:rFonts w:ascii="Times New Roman" w:hAnsi="Times New Roman" w:cs="Times New Roman"/>
          <w:color w:val="000000" w:themeColor="text1"/>
          <w:sz w:val="24"/>
          <w:szCs w:val="24"/>
        </w:rPr>
        <w:t xml:space="preserve"> </w:t>
      </w:r>
      <w:r w:rsidR="004E24BA" w:rsidRPr="00332D83">
        <w:rPr>
          <w:rFonts w:ascii="Times New Roman" w:hAnsi="Times New Roman" w:cs="Times New Roman"/>
          <w:color w:val="000000" w:themeColor="text1"/>
          <w:sz w:val="24"/>
          <w:szCs w:val="24"/>
        </w:rPr>
        <w:t>dominante</w:t>
      </w:r>
      <w:r w:rsidR="0055273B" w:rsidRPr="00332D83">
        <w:rPr>
          <w:rFonts w:ascii="Times New Roman" w:hAnsi="Times New Roman" w:cs="Times New Roman"/>
          <w:color w:val="000000" w:themeColor="text1"/>
          <w:sz w:val="24"/>
          <w:szCs w:val="24"/>
        </w:rPr>
        <w:t xml:space="preserve">, a libra. Havia vantagens nessa integração em termos </w:t>
      </w:r>
      <w:r w:rsidR="004E24BA" w:rsidRPr="00332D83">
        <w:rPr>
          <w:rFonts w:ascii="Times New Roman" w:hAnsi="Times New Roman" w:cs="Times New Roman"/>
          <w:color w:val="000000" w:themeColor="text1"/>
          <w:sz w:val="24"/>
          <w:szCs w:val="24"/>
        </w:rPr>
        <w:t xml:space="preserve">escala e </w:t>
      </w:r>
      <w:r w:rsidR="0055273B" w:rsidRPr="00332D83">
        <w:rPr>
          <w:rFonts w:ascii="Times New Roman" w:hAnsi="Times New Roman" w:cs="Times New Roman"/>
          <w:color w:val="000000" w:themeColor="text1"/>
          <w:sz w:val="24"/>
          <w:szCs w:val="24"/>
        </w:rPr>
        <w:t>de custos de</w:t>
      </w:r>
      <w:r w:rsidR="004E24BA" w:rsidRPr="00332D83">
        <w:rPr>
          <w:rFonts w:ascii="Times New Roman" w:hAnsi="Times New Roman" w:cs="Times New Roman"/>
          <w:color w:val="000000" w:themeColor="text1"/>
          <w:sz w:val="24"/>
          <w:szCs w:val="24"/>
        </w:rPr>
        <w:t xml:space="preserve"> transação, públicos e privados</w:t>
      </w:r>
      <w:r w:rsidR="0055273B" w:rsidRPr="00332D83">
        <w:rPr>
          <w:rFonts w:ascii="Times New Roman" w:hAnsi="Times New Roman" w:cs="Times New Roman"/>
          <w:color w:val="000000" w:themeColor="text1"/>
          <w:sz w:val="24"/>
          <w:szCs w:val="24"/>
        </w:rPr>
        <w:t xml:space="preserve">. No caso dos Estados Unidos, o sistema financeiro inglês chegou a atuar </w:t>
      </w:r>
      <w:r w:rsidR="007C0ADF" w:rsidRPr="00332D83">
        <w:rPr>
          <w:rFonts w:ascii="Times New Roman" w:hAnsi="Times New Roman" w:cs="Times New Roman"/>
          <w:color w:val="000000" w:themeColor="text1"/>
          <w:sz w:val="24"/>
          <w:szCs w:val="24"/>
        </w:rPr>
        <w:t xml:space="preserve">de fato </w:t>
      </w:r>
      <w:r w:rsidR="0055273B" w:rsidRPr="00332D83">
        <w:rPr>
          <w:rFonts w:ascii="Times New Roman" w:hAnsi="Times New Roman" w:cs="Times New Roman"/>
          <w:color w:val="000000" w:themeColor="text1"/>
          <w:sz w:val="24"/>
          <w:szCs w:val="24"/>
        </w:rPr>
        <w:t xml:space="preserve">como banco central do sistema </w:t>
      </w:r>
      <w:r w:rsidR="004E24BA" w:rsidRPr="00332D83">
        <w:rPr>
          <w:rFonts w:ascii="Times New Roman" w:hAnsi="Times New Roman" w:cs="Times New Roman"/>
          <w:color w:val="000000" w:themeColor="text1"/>
          <w:sz w:val="24"/>
          <w:szCs w:val="24"/>
        </w:rPr>
        <w:t xml:space="preserve">bancário americano. </w:t>
      </w:r>
      <w:r w:rsidR="00733F79" w:rsidRPr="00332D83">
        <w:rPr>
          <w:rFonts w:ascii="Times New Roman" w:hAnsi="Times New Roman" w:cs="Times New Roman"/>
          <w:sz w:val="24"/>
          <w:szCs w:val="24"/>
          <w:lang w:val="en-US"/>
        </w:rPr>
        <w:t xml:space="preserve">De </w:t>
      </w:r>
      <w:proofErr w:type="spellStart"/>
      <w:r w:rsidR="00733F79" w:rsidRPr="00332D83">
        <w:rPr>
          <w:rFonts w:ascii="Times New Roman" w:hAnsi="Times New Roman" w:cs="Times New Roman"/>
          <w:sz w:val="24"/>
          <w:szCs w:val="24"/>
          <w:lang w:val="en-US"/>
        </w:rPr>
        <w:t>acordo</w:t>
      </w:r>
      <w:proofErr w:type="spellEnd"/>
      <w:r w:rsidR="00733F79" w:rsidRPr="00332D83">
        <w:rPr>
          <w:rFonts w:ascii="Times New Roman" w:hAnsi="Times New Roman" w:cs="Times New Roman"/>
          <w:sz w:val="24"/>
          <w:szCs w:val="24"/>
          <w:lang w:val="en-US"/>
        </w:rPr>
        <w:t xml:space="preserve"> com </w:t>
      </w:r>
      <w:r w:rsidR="00733F79" w:rsidRPr="00332D83">
        <w:rPr>
          <w:rFonts w:ascii="Times New Roman" w:hAnsi="Times New Roman" w:cs="Times New Roman"/>
          <w:color w:val="000000" w:themeColor="text1"/>
          <w:sz w:val="24"/>
          <w:szCs w:val="24"/>
          <w:lang w:val="en-US"/>
        </w:rPr>
        <w:t xml:space="preserve">De </w:t>
      </w:r>
      <w:proofErr w:type="spellStart"/>
      <w:r w:rsidR="00733F79" w:rsidRPr="00332D83">
        <w:rPr>
          <w:rFonts w:ascii="Times New Roman" w:hAnsi="Times New Roman" w:cs="Times New Roman"/>
          <w:color w:val="000000" w:themeColor="text1"/>
          <w:sz w:val="24"/>
          <w:szCs w:val="24"/>
          <w:lang w:val="en-US"/>
        </w:rPr>
        <w:t>Cecco</w:t>
      </w:r>
      <w:proofErr w:type="spellEnd"/>
      <w:r w:rsidR="00733F79" w:rsidRPr="00332D83">
        <w:rPr>
          <w:rFonts w:ascii="Times New Roman" w:hAnsi="Times New Roman" w:cs="Times New Roman"/>
          <w:color w:val="000000" w:themeColor="text1"/>
          <w:sz w:val="24"/>
          <w:szCs w:val="24"/>
          <w:lang w:val="en-US"/>
        </w:rPr>
        <w:t>:</w:t>
      </w:r>
      <w:r w:rsidR="001F6F50">
        <w:rPr>
          <w:rFonts w:ascii="Times New Roman" w:hAnsi="Times New Roman" w:cs="Times New Roman"/>
          <w:color w:val="000000" w:themeColor="text1"/>
          <w:sz w:val="24"/>
          <w:szCs w:val="24"/>
          <w:lang w:val="en-US"/>
        </w:rPr>
        <w:t xml:space="preserve"> </w:t>
      </w:r>
      <w:r w:rsidR="00733F79" w:rsidRPr="00332D83">
        <w:rPr>
          <w:rFonts w:ascii="Times New Roman" w:hAnsi="Times New Roman" w:cs="Times New Roman"/>
          <w:color w:val="000000" w:themeColor="text1"/>
          <w:sz w:val="24"/>
          <w:szCs w:val="24"/>
          <w:lang w:val="en-US"/>
        </w:rPr>
        <w:t>“</w:t>
      </w:r>
      <w:r w:rsidR="00733F79" w:rsidRPr="001F6F50">
        <w:rPr>
          <w:rFonts w:ascii="Times New Roman" w:hAnsi="Times New Roman" w:cs="Times New Roman"/>
          <w:i/>
          <w:color w:val="000000" w:themeColor="text1"/>
          <w:sz w:val="24"/>
          <w:szCs w:val="24"/>
          <w:lang w:val="en-US"/>
        </w:rPr>
        <w:t>The largest source of weakness for London was, however, the ‘American Account’. The United States used the London money market as</w:t>
      </w:r>
      <w:r w:rsidR="00C147E9" w:rsidRPr="001F6F50">
        <w:rPr>
          <w:rFonts w:ascii="Times New Roman" w:hAnsi="Times New Roman" w:cs="Times New Roman"/>
          <w:i/>
          <w:color w:val="000000" w:themeColor="text1"/>
          <w:sz w:val="24"/>
          <w:szCs w:val="24"/>
          <w:lang w:val="en-US"/>
        </w:rPr>
        <w:t xml:space="preserve"> </w:t>
      </w:r>
      <w:r w:rsidR="00733F79" w:rsidRPr="001F6F50">
        <w:rPr>
          <w:rFonts w:ascii="Times New Roman" w:hAnsi="Times New Roman" w:cs="Times New Roman"/>
          <w:i/>
          <w:color w:val="000000" w:themeColor="text1"/>
          <w:sz w:val="24"/>
          <w:szCs w:val="24"/>
          <w:lang w:val="en-US"/>
        </w:rPr>
        <w:t>its central bank</w:t>
      </w:r>
      <w:r w:rsidR="001F6F50">
        <w:rPr>
          <w:rFonts w:ascii="Times New Roman" w:hAnsi="Times New Roman" w:cs="Times New Roman"/>
          <w:i/>
          <w:color w:val="000000" w:themeColor="text1"/>
          <w:sz w:val="24"/>
          <w:szCs w:val="24"/>
          <w:lang w:val="en-US"/>
        </w:rPr>
        <w:t>”</w:t>
      </w:r>
      <w:r w:rsidR="001F6F50" w:rsidRPr="001F6F50">
        <w:rPr>
          <w:rFonts w:ascii="Times New Roman" w:hAnsi="Times New Roman" w:cs="Times New Roman"/>
          <w:color w:val="000000" w:themeColor="text1"/>
          <w:sz w:val="24"/>
          <w:szCs w:val="24"/>
          <w:lang w:val="en-US"/>
        </w:rPr>
        <w:t xml:space="preserve"> </w:t>
      </w:r>
      <w:r w:rsidR="001F6F50">
        <w:rPr>
          <w:rFonts w:ascii="Times New Roman" w:hAnsi="Times New Roman" w:cs="Times New Roman"/>
          <w:color w:val="000000" w:themeColor="text1"/>
          <w:sz w:val="24"/>
          <w:szCs w:val="24"/>
          <w:lang w:val="en-US"/>
        </w:rPr>
        <w:t>(</w:t>
      </w:r>
      <w:r w:rsidR="00FB16E4">
        <w:rPr>
          <w:rFonts w:ascii="Times New Roman" w:hAnsi="Times New Roman" w:cs="Times New Roman"/>
          <w:color w:val="000000" w:themeColor="text1"/>
          <w:sz w:val="24"/>
          <w:szCs w:val="24"/>
          <w:lang w:val="en-US"/>
        </w:rPr>
        <w:t xml:space="preserve">DE </w:t>
      </w:r>
      <w:r w:rsidR="00E16843">
        <w:rPr>
          <w:rFonts w:ascii="Times New Roman" w:hAnsi="Times New Roman" w:cs="Times New Roman"/>
          <w:color w:val="000000" w:themeColor="text1"/>
          <w:sz w:val="24"/>
          <w:szCs w:val="24"/>
          <w:lang w:val="en-US"/>
        </w:rPr>
        <w:t>CECCO,</w:t>
      </w:r>
      <w:r w:rsidR="00E55B3B">
        <w:rPr>
          <w:rFonts w:ascii="Times New Roman" w:hAnsi="Times New Roman" w:cs="Times New Roman"/>
          <w:color w:val="000000" w:themeColor="text1"/>
          <w:sz w:val="24"/>
          <w:szCs w:val="24"/>
          <w:lang w:val="en-US"/>
        </w:rPr>
        <w:t xml:space="preserve"> </w:t>
      </w:r>
      <w:r w:rsidR="001F6F50" w:rsidRPr="00332D83">
        <w:rPr>
          <w:rFonts w:ascii="Times New Roman" w:hAnsi="Times New Roman" w:cs="Times New Roman"/>
          <w:color w:val="000000" w:themeColor="text1"/>
          <w:sz w:val="24"/>
          <w:szCs w:val="24"/>
          <w:lang w:val="en-US"/>
        </w:rPr>
        <w:t>1974:120)</w:t>
      </w:r>
      <w:r w:rsidR="001F6F50">
        <w:rPr>
          <w:rFonts w:ascii="Times New Roman" w:hAnsi="Times New Roman" w:cs="Times New Roman"/>
          <w:color w:val="000000" w:themeColor="text1"/>
          <w:sz w:val="24"/>
          <w:szCs w:val="24"/>
          <w:lang w:val="en-US"/>
        </w:rPr>
        <w:t>.</w:t>
      </w:r>
    </w:p>
    <w:p w:rsidR="006F1F53" w:rsidRPr="00332D83" w:rsidRDefault="0055273B" w:rsidP="00276F21">
      <w:pPr>
        <w:spacing w:before="240" w:line="240" w:lineRule="auto"/>
        <w:jc w:val="both"/>
        <w:rPr>
          <w:rFonts w:ascii="Times New Roman" w:hAnsi="Times New Roman" w:cs="Times New Roman"/>
          <w:color w:val="000000" w:themeColor="text1"/>
          <w:sz w:val="24"/>
          <w:szCs w:val="24"/>
        </w:rPr>
      </w:pPr>
      <w:r w:rsidRPr="00332D83">
        <w:rPr>
          <w:rFonts w:ascii="Times New Roman" w:hAnsi="Times New Roman" w:cs="Times New Roman"/>
          <w:color w:val="000000" w:themeColor="text1"/>
          <w:sz w:val="24"/>
          <w:szCs w:val="24"/>
        </w:rPr>
        <w:t xml:space="preserve">Aos ingleses, </w:t>
      </w:r>
      <w:r w:rsidR="008478F3" w:rsidRPr="00332D83">
        <w:rPr>
          <w:rFonts w:ascii="Times New Roman" w:hAnsi="Times New Roman" w:cs="Times New Roman"/>
          <w:color w:val="000000" w:themeColor="text1"/>
          <w:sz w:val="24"/>
          <w:szCs w:val="24"/>
        </w:rPr>
        <w:t>a</w:t>
      </w:r>
      <w:r w:rsidRPr="00332D83">
        <w:rPr>
          <w:rFonts w:ascii="Times New Roman" w:hAnsi="Times New Roman" w:cs="Times New Roman"/>
          <w:color w:val="000000" w:themeColor="text1"/>
          <w:sz w:val="24"/>
          <w:szCs w:val="24"/>
        </w:rPr>
        <w:t xml:space="preserve"> adesão </w:t>
      </w:r>
      <w:r w:rsidR="008478F3" w:rsidRPr="00332D83">
        <w:rPr>
          <w:rFonts w:ascii="Times New Roman" w:hAnsi="Times New Roman" w:cs="Times New Roman"/>
          <w:color w:val="000000" w:themeColor="text1"/>
          <w:sz w:val="24"/>
          <w:szCs w:val="24"/>
        </w:rPr>
        <w:t xml:space="preserve">das grandes nações ao padrão ouro </w:t>
      </w:r>
      <w:r w:rsidR="004E24BA" w:rsidRPr="00332D83">
        <w:rPr>
          <w:rFonts w:ascii="Times New Roman" w:hAnsi="Times New Roman" w:cs="Times New Roman"/>
          <w:color w:val="000000" w:themeColor="text1"/>
          <w:sz w:val="24"/>
          <w:szCs w:val="24"/>
        </w:rPr>
        <w:t>proporcionou</w:t>
      </w:r>
      <w:r w:rsidRPr="00332D83">
        <w:rPr>
          <w:rFonts w:ascii="Times New Roman" w:hAnsi="Times New Roman" w:cs="Times New Roman"/>
          <w:color w:val="000000" w:themeColor="text1"/>
          <w:sz w:val="24"/>
          <w:szCs w:val="24"/>
        </w:rPr>
        <w:t xml:space="preserve"> um aumento dos ganhos do seu sistema financeiro em termos da escala das opera</w:t>
      </w:r>
      <w:r w:rsidR="00FA2688" w:rsidRPr="00332D83">
        <w:rPr>
          <w:rFonts w:ascii="Times New Roman" w:hAnsi="Times New Roman" w:cs="Times New Roman"/>
          <w:color w:val="000000" w:themeColor="text1"/>
          <w:sz w:val="24"/>
          <w:szCs w:val="24"/>
        </w:rPr>
        <w:t xml:space="preserve">ções que eram transacionadas </w:t>
      </w:r>
      <w:r w:rsidR="006F1F53" w:rsidRPr="00332D83">
        <w:rPr>
          <w:rFonts w:ascii="Times New Roman" w:hAnsi="Times New Roman" w:cs="Times New Roman"/>
          <w:color w:val="000000" w:themeColor="text1"/>
          <w:sz w:val="24"/>
          <w:szCs w:val="24"/>
        </w:rPr>
        <w:t xml:space="preserve">em libras em </w:t>
      </w:r>
      <w:r w:rsidRPr="00332D83">
        <w:rPr>
          <w:rFonts w:ascii="Times New Roman" w:hAnsi="Times New Roman" w:cs="Times New Roman"/>
          <w:color w:val="000000" w:themeColor="text1"/>
          <w:sz w:val="24"/>
          <w:szCs w:val="24"/>
        </w:rPr>
        <w:t>Londres</w:t>
      </w:r>
      <w:r w:rsidR="001C5C5C" w:rsidRPr="00332D83">
        <w:rPr>
          <w:rFonts w:ascii="Times New Roman" w:hAnsi="Times New Roman" w:cs="Times New Roman"/>
          <w:color w:val="000000" w:themeColor="text1"/>
          <w:sz w:val="24"/>
          <w:szCs w:val="24"/>
        </w:rPr>
        <w:t xml:space="preserve"> e </w:t>
      </w:r>
      <w:r w:rsidRPr="00332D83">
        <w:rPr>
          <w:rFonts w:ascii="Times New Roman" w:hAnsi="Times New Roman" w:cs="Times New Roman"/>
          <w:color w:val="000000" w:themeColor="text1"/>
          <w:sz w:val="24"/>
          <w:szCs w:val="24"/>
        </w:rPr>
        <w:t xml:space="preserve">da oferta de serviços financeiros especializados e </w:t>
      </w:r>
      <w:r w:rsidRPr="00332D83">
        <w:rPr>
          <w:rFonts w:ascii="Times New Roman" w:hAnsi="Times New Roman" w:cs="Times New Roman"/>
          <w:color w:val="000000" w:themeColor="text1"/>
          <w:sz w:val="24"/>
          <w:szCs w:val="24"/>
        </w:rPr>
        <w:lastRenderedPageBreak/>
        <w:t>de alto valor agregado. A centralidade d</w:t>
      </w:r>
      <w:r w:rsidR="008478F3" w:rsidRPr="00332D83">
        <w:rPr>
          <w:rFonts w:ascii="Times New Roman" w:hAnsi="Times New Roman" w:cs="Times New Roman"/>
          <w:color w:val="000000" w:themeColor="text1"/>
          <w:sz w:val="24"/>
          <w:szCs w:val="24"/>
        </w:rPr>
        <w:t>o mercado inglês</w:t>
      </w:r>
      <w:r w:rsidRPr="00332D83">
        <w:rPr>
          <w:rFonts w:ascii="Times New Roman" w:hAnsi="Times New Roman" w:cs="Times New Roman"/>
          <w:color w:val="000000" w:themeColor="text1"/>
          <w:sz w:val="24"/>
          <w:szCs w:val="24"/>
        </w:rPr>
        <w:t xml:space="preserve"> permitia </w:t>
      </w:r>
      <w:r w:rsidR="008478F3" w:rsidRPr="00332D83">
        <w:rPr>
          <w:rFonts w:ascii="Times New Roman" w:hAnsi="Times New Roman" w:cs="Times New Roman"/>
          <w:color w:val="000000" w:themeColor="text1"/>
          <w:sz w:val="24"/>
          <w:szCs w:val="24"/>
        </w:rPr>
        <w:t>ao</w:t>
      </w:r>
      <w:r w:rsidR="00E611B5">
        <w:rPr>
          <w:rFonts w:ascii="Times New Roman" w:hAnsi="Times New Roman" w:cs="Times New Roman"/>
          <w:color w:val="000000" w:themeColor="text1"/>
          <w:sz w:val="24"/>
          <w:szCs w:val="24"/>
        </w:rPr>
        <w:t xml:space="preserve"> seu Tesouro e a seus bancos </w:t>
      </w:r>
      <w:r w:rsidRPr="00332D83">
        <w:rPr>
          <w:rFonts w:ascii="Times New Roman" w:hAnsi="Times New Roman" w:cs="Times New Roman"/>
          <w:color w:val="000000" w:themeColor="text1"/>
          <w:sz w:val="24"/>
          <w:szCs w:val="24"/>
        </w:rPr>
        <w:t>operar</w:t>
      </w:r>
      <w:r w:rsidR="008478F3" w:rsidRPr="00332D83">
        <w:rPr>
          <w:rFonts w:ascii="Times New Roman" w:hAnsi="Times New Roman" w:cs="Times New Roman"/>
          <w:color w:val="000000" w:themeColor="text1"/>
          <w:sz w:val="24"/>
          <w:szCs w:val="24"/>
        </w:rPr>
        <w:t>em com as</w:t>
      </w:r>
      <w:r w:rsidRPr="00332D83">
        <w:rPr>
          <w:rFonts w:ascii="Times New Roman" w:hAnsi="Times New Roman" w:cs="Times New Roman"/>
          <w:color w:val="000000" w:themeColor="text1"/>
          <w:sz w:val="24"/>
          <w:szCs w:val="24"/>
        </w:rPr>
        <w:t xml:space="preserve"> taxa</w:t>
      </w:r>
      <w:r w:rsidR="008478F3" w:rsidRPr="00332D83">
        <w:rPr>
          <w:rFonts w:ascii="Times New Roman" w:hAnsi="Times New Roman" w:cs="Times New Roman"/>
          <w:color w:val="000000" w:themeColor="text1"/>
          <w:sz w:val="24"/>
          <w:szCs w:val="24"/>
        </w:rPr>
        <w:t>s</w:t>
      </w:r>
      <w:r w:rsidR="00261F8F" w:rsidRPr="00332D83">
        <w:rPr>
          <w:rFonts w:ascii="Times New Roman" w:hAnsi="Times New Roman" w:cs="Times New Roman"/>
          <w:color w:val="000000" w:themeColor="text1"/>
          <w:sz w:val="24"/>
          <w:szCs w:val="24"/>
        </w:rPr>
        <w:t xml:space="preserve"> de juros mais baixas </w:t>
      </w:r>
      <w:r w:rsidR="00E16843">
        <w:rPr>
          <w:rFonts w:ascii="Times New Roman" w:hAnsi="Times New Roman" w:cs="Times New Roman"/>
          <w:color w:val="000000" w:themeColor="text1"/>
          <w:sz w:val="24"/>
          <w:szCs w:val="24"/>
        </w:rPr>
        <w:t>d</w:t>
      </w:r>
      <w:r w:rsidRPr="00332D83">
        <w:rPr>
          <w:rFonts w:ascii="Times New Roman" w:hAnsi="Times New Roman" w:cs="Times New Roman"/>
          <w:color w:val="000000" w:themeColor="text1"/>
          <w:sz w:val="24"/>
          <w:szCs w:val="24"/>
        </w:rPr>
        <w:t>o sistema e atrair</w:t>
      </w:r>
      <w:r w:rsidR="00E611B5">
        <w:rPr>
          <w:rFonts w:ascii="Times New Roman" w:hAnsi="Times New Roman" w:cs="Times New Roman"/>
          <w:color w:val="000000" w:themeColor="text1"/>
          <w:sz w:val="24"/>
          <w:szCs w:val="24"/>
        </w:rPr>
        <w:t xml:space="preserve"> para Londres</w:t>
      </w:r>
      <w:r w:rsidRPr="00332D83">
        <w:rPr>
          <w:rFonts w:ascii="Times New Roman" w:hAnsi="Times New Roman" w:cs="Times New Roman"/>
          <w:color w:val="000000" w:themeColor="text1"/>
          <w:sz w:val="24"/>
          <w:szCs w:val="24"/>
        </w:rPr>
        <w:t xml:space="preserve"> uma massa enorme de capitais de todo o mundo. A autonomia </w:t>
      </w:r>
      <w:r w:rsidR="006F1F53" w:rsidRPr="00332D83">
        <w:rPr>
          <w:rFonts w:ascii="Times New Roman" w:hAnsi="Times New Roman" w:cs="Times New Roman"/>
          <w:color w:val="000000" w:themeColor="text1"/>
          <w:sz w:val="24"/>
          <w:szCs w:val="24"/>
        </w:rPr>
        <w:t xml:space="preserve">política </w:t>
      </w:r>
      <w:r w:rsidRPr="00332D83">
        <w:rPr>
          <w:rFonts w:ascii="Times New Roman" w:hAnsi="Times New Roman" w:cs="Times New Roman"/>
          <w:color w:val="000000" w:themeColor="text1"/>
          <w:sz w:val="24"/>
          <w:szCs w:val="24"/>
        </w:rPr>
        <w:t>inglesa no s</w:t>
      </w:r>
      <w:r w:rsidR="00E611B5">
        <w:rPr>
          <w:rFonts w:ascii="Times New Roman" w:hAnsi="Times New Roman" w:cs="Times New Roman"/>
          <w:color w:val="000000" w:themeColor="text1"/>
          <w:sz w:val="24"/>
          <w:szCs w:val="24"/>
        </w:rPr>
        <w:t>istema era, no entanto, relativa</w:t>
      </w:r>
      <w:r w:rsidRPr="00332D83">
        <w:rPr>
          <w:rFonts w:ascii="Times New Roman" w:hAnsi="Times New Roman" w:cs="Times New Roman"/>
          <w:color w:val="000000" w:themeColor="text1"/>
          <w:sz w:val="24"/>
          <w:szCs w:val="24"/>
        </w:rPr>
        <w:t xml:space="preserve">. O ouro servia como um forte limite ao uso político da vantagem financeira inglesa. </w:t>
      </w:r>
    </w:p>
    <w:p w:rsidR="00120C4F" w:rsidRPr="00332D83" w:rsidRDefault="0055273B" w:rsidP="00276F21">
      <w:pPr>
        <w:spacing w:before="240" w:line="240" w:lineRule="auto"/>
        <w:jc w:val="both"/>
        <w:rPr>
          <w:rFonts w:ascii="Times New Roman" w:hAnsi="Times New Roman" w:cs="Times New Roman"/>
          <w:color w:val="000000" w:themeColor="text1"/>
          <w:sz w:val="24"/>
          <w:szCs w:val="24"/>
        </w:rPr>
      </w:pPr>
      <w:r w:rsidRPr="00332D83">
        <w:rPr>
          <w:rFonts w:ascii="Times New Roman" w:hAnsi="Times New Roman" w:cs="Times New Roman"/>
          <w:color w:val="000000" w:themeColor="text1"/>
          <w:sz w:val="24"/>
          <w:szCs w:val="24"/>
        </w:rPr>
        <w:t>Ao mesmo tempo, a centralidade inglesa sobre o sistema era um bem que precisava ser preservado pelos d</w:t>
      </w:r>
      <w:r w:rsidR="008478F3" w:rsidRPr="00332D83">
        <w:rPr>
          <w:rFonts w:ascii="Times New Roman" w:hAnsi="Times New Roman" w:cs="Times New Roman"/>
          <w:color w:val="000000" w:themeColor="text1"/>
          <w:sz w:val="24"/>
          <w:szCs w:val="24"/>
        </w:rPr>
        <w:t xml:space="preserve">emais </w:t>
      </w:r>
      <w:r w:rsidR="007C0ADF" w:rsidRPr="00332D83">
        <w:rPr>
          <w:rFonts w:ascii="Times New Roman" w:hAnsi="Times New Roman" w:cs="Times New Roman"/>
          <w:color w:val="000000" w:themeColor="text1"/>
          <w:sz w:val="24"/>
          <w:szCs w:val="24"/>
        </w:rPr>
        <w:t xml:space="preserve">países </w:t>
      </w:r>
      <w:r w:rsidR="008478F3" w:rsidRPr="00332D83">
        <w:rPr>
          <w:rFonts w:ascii="Times New Roman" w:hAnsi="Times New Roman" w:cs="Times New Roman"/>
          <w:color w:val="000000" w:themeColor="text1"/>
          <w:sz w:val="24"/>
          <w:szCs w:val="24"/>
        </w:rPr>
        <w:t>por interesse</w:t>
      </w:r>
      <w:r w:rsidR="007C0ADF" w:rsidRPr="00332D83">
        <w:rPr>
          <w:rFonts w:ascii="Times New Roman" w:hAnsi="Times New Roman" w:cs="Times New Roman"/>
          <w:color w:val="000000" w:themeColor="text1"/>
          <w:sz w:val="24"/>
          <w:szCs w:val="24"/>
        </w:rPr>
        <w:t xml:space="preserve"> próprio</w:t>
      </w:r>
      <w:r w:rsidR="008478F3" w:rsidRPr="00332D83">
        <w:rPr>
          <w:rFonts w:ascii="Times New Roman" w:hAnsi="Times New Roman" w:cs="Times New Roman"/>
          <w:color w:val="000000" w:themeColor="text1"/>
          <w:sz w:val="24"/>
          <w:szCs w:val="24"/>
        </w:rPr>
        <w:t>, sob a ameaça de serem também impactados por uma crise financeira de proporções sistêmicas.</w:t>
      </w:r>
      <w:r w:rsidRPr="00332D83">
        <w:rPr>
          <w:rFonts w:ascii="Times New Roman" w:hAnsi="Times New Roman" w:cs="Times New Roman"/>
          <w:color w:val="000000" w:themeColor="text1"/>
          <w:sz w:val="24"/>
          <w:szCs w:val="24"/>
        </w:rPr>
        <w:t xml:space="preserve"> Esse </w:t>
      </w:r>
      <w:r w:rsidR="001C5C5C" w:rsidRPr="00332D83">
        <w:rPr>
          <w:rFonts w:ascii="Times New Roman" w:hAnsi="Times New Roman" w:cs="Times New Roman"/>
          <w:color w:val="000000" w:themeColor="text1"/>
          <w:sz w:val="24"/>
          <w:szCs w:val="24"/>
        </w:rPr>
        <w:t>foi</w:t>
      </w:r>
      <w:r w:rsidRPr="00332D83">
        <w:rPr>
          <w:rFonts w:ascii="Times New Roman" w:hAnsi="Times New Roman" w:cs="Times New Roman"/>
          <w:color w:val="000000" w:themeColor="text1"/>
          <w:sz w:val="24"/>
          <w:szCs w:val="24"/>
        </w:rPr>
        <w:t xml:space="preserve"> o motivo que </w:t>
      </w:r>
      <w:r w:rsidR="001C5C5C" w:rsidRPr="00332D83">
        <w:rPr>
          <w:rFonts w:ascii="Times New Roman" w:hAnsi="Times New Roman" w:cs="Times New Roman"/>
          <w:color w:val="000000" w:themeColor="text1"/>
          <w:sz w:val="24"/>
          <w:szCs w:val="24"/>
        </w:rPr>
        <w:t xml:space="preserve">fez com que </w:t>
      </w:r>
      <w:r w:rsidR="00E16843" w:rsidRPr="00332D83">
        <w:rPr>
          <w:rFonts w:ascii="Times New Roman" w:hAnsi="Times New Roman" w:cs="Times New Roman"/>
          <w:color w:val="000000" w:themeColor="text1"/>
          <w:sz w:val="24"/>
          <w:szCs w:val="24"/>
        </w:rPr>
        <w:t>franceses</w:t>
      </w:r>
      <w:r w:rsidR="00E16843">
        <w:rPr>
          <w:rFonts w:ascii="Times New Roman" w:hAnsi="Times New Roman" w:cs="Times New Roman"/>
          <w:color w:val="000000" w:themeColor="text1"/>
          <w:sz w:val="24"/>
          <w:szCs w:val="24"/>
        </w:rPr>
        <w:t>,</w:t>
      </w:r>
      <w:r w:rsidR="00E16843" w:rsidRPr="00332D83">
        <w:rPr>
          <w:rFonts w:ascii="Times New Roman" w:hAnsi="Times New Roman" w:cs="Times New Roman"/>
          <w:color w:val="000000" w:themeColor="text1"/>
          <w:sz w:val="24"/>
          <w:szCs w:val="24"/>
        </w:rPr>
        <w:t xml:space="preserve"> alemães</w:t>
      </w:r>
      <w:r w:rsidR="001C5C5C" w:rsidRPr="00332D83">
        <w:rPr>
          <w:rFonts w:ascii="Times New Roman" w:hAnsi="Times New Roman" w:cs="Times New Roman"/>
          <w:color w:val="000000" w:themeColor="text1"/>
          <w:sz w:val="24"/>
          <w:szCs w:val="24"/>
        </w:rPr>
        <w:t xml:space="preserve"> e russos </w:t>
      </w:r>
      <w:r w:rsidRPr="00332D83">
        <w:rPr>
          <w:rFonts w:ascii="Times New Roman" w:hAnsi="Times New Roman" w:cs="Times New Roman"/>
          <w:color w:val="000000" w:themeColor="text1"/>
          <w:sz w:val="24"/>
          <w:szCs w:val="24"/>
        </w:rPr>
        <w:t>corre</w:t>
      </w:r>
      <w:r w:rsidR="001C5C5C" w:rsidRPr="00332D83">
        <w:rPr>
          <w:rFonts w:ascii="Times New Roman" w:hAnsi="Times New Roman" w:cs="Times New Roman"/>
          <w:color w:val="000000" w:themeColor="text1"/>
          <w:sz w:val="24"/>
          <w:szCs w:val="24"/>
        </w:rPr>
        <w:t>ssem</w:t>
      </w:r>
      <w:r w:rsidRPr="00332D83">
        <w:rPr>
          <w:rFonts w:ascii="Times New Roman" w:hAnsi="Times New Roman" w:cs="Times New Roman"/>
          <w:color w:val="000000" w:themeColor="text1"/>
          <w:sz w:val="24"/>
          <w:szCs w:val="24"/>
        </w:rPr>
        <w:t xml:space="preserve"> para ajudar o Banco da Inglaterra </w:t>
      </w:r>
      <w:r w:rsidR="00B22F2C" w:rsidRPr="00332D83">
        <w:rPr>
          <w:rFonts w:ascii="Times New Roman" w:hAnsi="Times New Roman" w:cs="Times New Roman"/>
          <w:color w:val="000000" w:themeColor="text1"/>
          <w:sz w:val="24"/>
          <w:szCs w:val="24"/>
        </w:rPr>
        <w:t>através de empréstimos em ouro para sustenta</w:t>
      </w:r>
      <w:r w:rsidR="006F1F53" w:rsidRPr="00332D83">
        <w:rPr>
          <w:rFonts w:ascii="Times New Roman" w:hAnsi="Times New Roman" w:cs="Times New Roman"/>
          <w:color w:val="000000" w:themeColor="text1"/>
          <w:sz w:val="24"/>
          <w:szCs w:val="24"/>
        </w:rPr>
        <w:t>r</w:t>
      </w:r>
      <w:r w:rsidR="00B22F2C" w:rsidRPr="00332D83">
        <w:rPr>
          <w:rFonts w:ascii="Times New Roman" w:hAnsi="Times New Roman" w:cs="Times New Roman"/>
          <w:color w:val="000000" w:themeColor="text1"/>
          <w:sz w:val="24"/>
          <w:szCs w:val="24"/>
        </w:rPr>
        <w:t xml:space="preserve"> a paridade</w:t>
      </w:r>
      <w:r w:rsidR="00F7413F" w:rsidRPr="00332D83">
        <w:rPr>
          <w:rFonts w:ascii="Times New Roman" w:hAnsi="Times New Roman" w:cs="Times New Roman"/>
          <w:color w:val="000000" w:themeColor="text1"/>
          <w:sz w:val="24"/>
          <w:szCs w:val="24"/>
        </w:rPr>
        <w:t xml:space="preserve"> da libra</w:t>
      </w:r>
      <w:r w:rsidR="006F1F53" w:rsidRPr="00332D83">
        <w:rPr>
          <w:rFonts w:ascii="Times New Roman" w:hAnsi="Times New Roman" w:cs="Times New Roman"/>
          <w:color w:val="000000" w:themeColor="text1"/>
          <w:sz w:val="24"/>
          <w:szCs w:val="24"/>
        </w:rPr>
        <w:t>, nos raros momentos em que a moeda inglesa esteve sob forte pressão dos mercados</w:t>
      </w:r>
      <w:r w:rsidR="00B22F2C" w:rsidRPr="00332D83">
        <w:rPr>
          <w:rFonts w:ascii="Times New Roman" w:hAnsi="Times New Roman" w:cs="Times New Roman"/>
          <w:color w:val="000000" w:themeColor="text1"/>
          <w:sz w:val="24"/>
          <w:szCs w:val="24"/>
        </w:rPr>
        <w:t xml:space="preserve">. </w:t>
      </w:r>
    </w:p>
    <w:p w:rsidR="00EE5381" w:rsidRDefault="00FA2688" w:rsidP="00276F21">
      <w:pPr>
        <w:spacing w:after="0" w:line="240" w:lineRule="auto"/>
        <w:jc w:val="both"/>
        <w:rPr>
          <w:rFonts w:ascii="Times New Roman" w:hAnsi="Times New Roman" w:cs="Times New Roman"/>
          <w:color w:val="000000" w:themeColor="text1"/>
          <w:sz w:val="24"/>
          <w:szCs w:val="24"/>
          <w:lang w:val="en-US"/>
        </w:rPr>
      </w:pPr>
      <w:r w:rsidRPr="00332D83">
        <w:rPr>
          <w:rFonts w:ascii="Times New Roman" w:hAnsi="Times New Roman" w:cs="Times New Roman"/>
          <w:color w:val="000000" w:themeColor="text1"/>
          <w:sz w:val="24"/>
          <w:szCs w:val="24"/>
        </w:rPr>
        <w:t>Os</w:t>
      </w:r>
      <w:r w:rsidR="00B22F2C" w:rsidRPr="00332D83">
        <w:rPr>
          <w:rFonts w:ascii="Times New Roman" w:hAnsi="Times New Roman" w:cs="Times New Roman"/>
          <w:color w:val="000000" w:themeColor="text1"/>
          <w:sz w:val="24"/>
          <w:szCs w:val="24"/>
        </w:rPr>
        <w:t xml:space="preserve"> ingleses</w:t>
      </w:r>
      <w:r w:rsidR="005A20D8" w:rsidRPr="00332D83">
        <w:rPr>
          <w:rFonts w:ascii="Times New Roman" w:hAnsi="Times New Roman" w:cs="Times New Roman"/>
          <w:color w:val="000000" w:themeColor="text1"/>
          <w:sz w:val="24"/>
          <w:szCs w:val="24"/>
        </w:rPr>
        <w:t>,</w:t>
      </w:r>
      <w:r w:rsidR="00B22F2C" w:rsidRPr="00332D83">
        <w:rPr>
          <w:rFonts w:ascii="Times New Roman" w:hAnsi="Times New Roman" w:cs="Times New Roman"/>
          <w:color w:val="000000" w:themeColor="text1"/>
          <w:sz w:val="24"/>
          <w:szCs w:val="24"/>
        </w:rPr>
        <w:t xml:space="preserve"> ao longo d</w:t>
      </w:r>
      <w:r w:rsidR="005A20D8" w:rsidRPr="00332D83">
        <w:rPr>
          <w:rFonts w:ascii="Times New Roman" w:hAnsi="Times New Roman" w:cs="Times New Roman"/>
          <w:color w:val="000000" w:themeColor="text1"/>
          <w:sz w:val="24"/>
          <w:szCs w:val="24"/>
        </w:rPr>
        <w:t>a vigência do</w:t>
      </w:r>
      <w:r w:rsidR="00B22F2C" w:rsidRPr="00332D83">
        <w:rPr>
          <w:rFonts w:ascii="Times New Roman" w:hAnsi="Times New Roman" w:cs="Times New Roman"/>
          <w:color w:val="000000" w:themeColor="text1"/>
          <w:sz w:val="24"/>
          <w:szCs w:val="24"/>
        </w:rPr>
        <w:t xml:space="preserve"> padrão ouro (1870-1914</w:t>
      </w:r>
      <w:r w:rsidRPr="00332D83">
        <w:rPr>
          <w:rFonts w:ascii="Times New Roman" w:hAnsi="Times New Roman" w:cs="Times New Roman"/>
          <w:color w:val="000000" w:themeColor="text1"/>
          <w:sz w:val="24"/>
          <w:szCs w:val="24"/>
        </w:rPr>
        <w:t>)</w:t>
      </w:r>
      <w:r w:rsidR="005A20D8" w:rsidRPr="00332D83">
        <w:rPr>
          <w:rFonts w:ascii="Times New Roman" w:hAnsi="Times New Roman" w:cs="Times New Roman"/>
          <w:color w:val="000000" w:themeColor="text1"/>
          <w:sz w:val="24"/>
          <w:szCs w:val="24"/>
        </w:rPr>
        <w:t>,</w:t>
      </w:r>
      <w:r w:rsidR="00B22F2C" w:rsidRPr="00332D83">
        <w:rPr>
          <w:rFonts w:ascii="Times New Roman" w:hAnsi="Times New Roman" w:cs="Times New Roman"/>
          <w:color w:val="000000" w:themeColor="text1"/>
          <w:sz w:val="24"/>
          <w:szCs w:val="24"/>
        </w:rPr>
        <w:t xml:space="preserve"> </w:t>
      </w:r>
      <w:r w:rsidR="005A20D8" w:rsidRPr="00332D83">
        <w:rPr>
          <w:rFonts w:ascii="Times New Roman" w:hAnsi="Times New Roman" w:cs="Times New Roman"/>
          <w:color w:val="000000" w:themeColor="text1"/>
          <w:sz w:val="24"/>
          <w:szCs w:val="24"/>
        </w:rPr>
        <w:t>deti</w:t>
      </w:r>
      <w:r w:rsidR="00E16843">
        <w:rPr>
          <w:rFonts w:ascii="Times New Roman" w:hAnsi="Times New Roman" w:cs="Times New Roman"/>
          <w:color w:val="000000" w:themeColor="text1"/>
          <w:sz w:val="24"/>
          <w:szCs w:val="24"/>
        </w:rPr>
        <w:t>veram</w:t>
      </w:r>
      <w:r w:rsidR="005A20D8" w:rsidRPr="00332D83">
        <w:rPr>
          <w:rFonts w:ascii="Times New Roman" w:hAnsi="Times New Roman" w:cs="Times New Roman"/>
          <w:color w:val="000000" w:themeColor="text1"/>
          <w:sz w:val="24"/>
          <w:szCs w:val="24"/>
        </w:rPr>
        <w:t xml:space="preserve"> o papel de</w:t>
      </w:r>
      <w:r w:rsidR="00B22F2C" w:rsidRPr="00332D83">
        <w:rPr>
          <w:rFonts w:ascii="Times New Roman" w:hAnsi="Times New Roman" w:cs="Times New Roman"/>
          <w:color w:val="000000" w:themeColor="text1"/>
          <w:sz w:val="24"/>
          <w:szCs w:val="24"/>
        </w:rPr>
        <w:t xml:space="preserve"> administradores </w:t>
      </w:r>
      <w:r w:rsidR="001C5C5C" w:rsidRPr="00332D83">
        <w:rPr>
          <w:rFonts w:ascii="Times New Roman" w:hAnsi="Times New Roman" w:cs="Times New Roman"/>
          <w:color w:val="000000" w:themeColor="text1"/>
          <w:sz w:val="24"/>
          <w:szCs w:val="24"/>
        </w:rPr>
        <w:t>de um sistema globalmente integrado e os emissores da</w:t>
      </w:r>
      <w:r w:rsidR="00B22F2C" w:rsidRPr="00332D83">
        <w:rPr>
          <w:rFonts w:ascii="Times New Roman" w:hAnsi="Times New Roman" w:cs="Times New Roman"/>
          <w:color w:val="000000" w:themeColor="text1"/>
          <w:sz w:val="24"/>
          <w:szCs w:val="24"/>
        </w:rPr>
        <w:t xml:space="preserve"> moe</w:t>
      </w:r>
      <w:r w:rsidR="00276F2B" w:rsidRPr="00332D83">
        <w:rPr>
          <w:rFonts w:ascii="Times New Roman" w:hAnsi="Times New Roman" w:cs="Times New Roman"/>
          <w:color w:val="000000" w:themeColor="text1"/>
          <w:sz w:val="24"/>
          <w:szCs w:val="24"/>
        </w:rPr>
        <w:t>da básica de um “clube de ouro”</w:t>
      </w:r>
      <w:r w:rsidR="005E6D43" w:rsidRPr="00332D83">
        <w:rPr>
          <w:rFonts w:ascii="Times New Roman" w:hAnsi="Times New Roman" w:cs="Times New Roman"/>
          <w:color w:val="000000" w:themeColor="text1"/>
          <w:sz w:val="24"/>
          <w:szCs w:val="24"/>
        </w:rPr>
        <w:t>.</w:t>
      </w:r>
      <w:r w:rsidR="00120C4F" w:rsidRPr="00332D83">
        <w:rPr>
          <w:rFonts w:ascii="Times New Roman" w:hAnsi="Times New Roman" w:cs="Times New Roman"/>
          <w:color w:val="000000" w:themeColor="text1"/>
          <w:sz w:val="24"/>
          <w:szCs w:val="24"/>
        </w:rPr>
        <w:t xml:space="preserve"> </w:t>
      </w:r>
      <w:r w:rsidR="005C4ECA">
        <w:rPr>
          <w:rFonts w:ascii="Times New Roman" w:hAnsi="Times New Roman" w:cs="Times New Roman"/>
          <w:color w:val="000000" w:themeColor="text1"/>
          <w:sz w:val="24"/>
          <w:szCs w:val="24"/>
          <w:lang w:val="en-US"/>
        </w:rPr>
        <w:t>Segun</w:t>
      </w:r>
      <w:r w:rsidR="0017521B" w:rsidRPr="00332D83">
        <w:rPr>
          <w:rFonts w:ascii="Times New Roman" w:hAnsi="Times New Roman" w:cs="Times New Roman"/>
          <w:color w:val="000000" w:themeColor="text1"/>
          <w:sz w:val="24"/>
          <w:szCs w:val="24"/>
          <w:lang w:val="en-US"/>
        </w:rPr>
        <w:t>do</w:t>
      </w:r>
      <w:r w:rsidR="001F6F50">
        <w:rPr>
          <w:rFonts w:ascii="Times New Roman" w:hAnsi="Times New Roman" w:cs="Times New Roman"/>
          <w:color w:val="000000" w:themeColor="text1"/>
          <w:sz w:val="24"/>
          <w:szCs w:val="24"/>
          <w:lang w:val="en-US"/>
        </w:rPr>
        <w:t xml:space="preserve"> </w:t>
      </w:r>
      <w:proofErr w:type="spellStart"/>
      <w:r w:rsidR="001F6F50">
        <w:rPr>
          <w:rFonts w:ascii="Times New Roman" w:hAnsi="Times New Roman" w:cs="Times New Roman"/>
          <w:color w:val="000000" w:themeColor="text1"/>
          <w:sz w:val="24"/>
          <w:szCs w:val="24"/>
          <w:lang w:val="en-US"/>
        </w:rPr>
        <w:t>Galarotti</w:t>
      </w:r>
      <w:proofErr w:type="spellEnd"/>
      <w:r w:rsidR="00120C4F" w:rsidRPr="00332D83">
        <w:rPr>
          <w:rFonts w:ascii="Times New Roman" w:hAnsi="Times New Roman" w:cs="Times New Roman"/>
          <w:color w:val="000000" w:themeColor="text1"/>
          <w:sz w:val="24"/>
          <w:szCs w:val="24"/>
          <w:lang w:val="en-US"/>
        </w:rPr>
        <w:t>; “</w:t>
      </w:r>
      <w:r w:rsidR="00120C4F" w:rsidRPr="00332D83">
        <w:rPr>
          <w:rFonts w:ascii="Times New Roman" w:eastAsia="Times New Roman" w:hAnsi="Times New Roman" w:cs="Times New Roman"/>
          <w:i/>
          <w:color w:val="000000"/>
          <w:sz w:val="24"/>
          <w:szCs w:val="24"/>
          <w:lang w:val="en-US" w:eastAsia="pt-BR"/>
        </w:rPr>
        <w:t>The gold standard partly compelled because international trade was financed disproportionately in sterling, nations desired access to the London capital market, and nations drew lessons from the British experience about the relationship between monetary standards and economic development (i.e., overlearning from history). But even here, the outcomes were somewhat different from the treatment in the literature on hegemonic regimes: the British did not purposively contribute to or orchestrate the structural compellence, and the process of socialization was a result of inferences drawn in foreign nations rather than the direct  inculcation of norms or injunctions on the part of hegemonic agents”</w:t>
      </w:r>
      <w:r w:rsidR="001F6F50" w:rsidRPr="001F6F50">
        <w:rPr>
          <w:rFonts w:ascii="Times New Roman" w:hAnsi="Times New Roman" w:cs="Times New Roman"/>
          <w:color w:val="000000" w:themeColor="text1"/>
          <w:sz w:val="24"/>
          <w:szCs w:val="24"/>
          <w:lang w:val="en-US"/>
        </w:rPr>
        <w:t xml:space="preserve"> </w:t>
      </w:r>
      <w:r w:rsidR="00031F13">
        <w:rPr>
          <w:rFonts w:ascii="Times New Roman" w:hAnsi="Times New Roman" w:cs="Times New Roman"/>
          <w:color w:val="000000" w:themeColor="text1"/>
          <w:sz w:val="24"/>
          <w:szCs w:val="24"/>
          <w:lang w:val="en-US"/>
        </w:rPr>
        <w:t xml:space="preserve">(GALAROTTI, </w:t>
      </w:r>
      <w:r w:rsidR="001F6F50" w:rsidRPr="00332D83">
        <w:rPr>
          <w:rFonts w:ascii="Times New Roman" w:hAnsi="Times New Roman" w:cs="Times New Roman"/>
          <w:color w:val="000000" w:themeColor="text1"/>
          <w:sz w:val="24"/>
          <w:szCs w:val="24"/>
          <w:lang w:val="en-US"/>
        </w:rPr>
        <w:t>1995:224)</w:t>
      </w:r>
    </w:p>
    <w:p w:rsidR="00F12942" w:rsidRPr="00031560" w:rsidRDefault="00F12942" w:rsidP="00276F21">
      <w:pPr>
        <w:spacing w:line="240" w:lineRule="auto"/>
        <w:jc w:val="both"/>
        <w:rPr>
          <w:rFonts w:ascii="Times New Roman" w:hAnsi="Times New Roman" w:cs="Times New Roman"/>
          <w:b/>
          <w:color w:val="000000" w:themeColor="text1"/>
          <w:sz w:val="24"/>
          <w:szCs w:val="24"/>
          <w:lang w:val="en-US"/>
        </w:rPr>
      </w:pPr>
    </w:p>
    <w:p w:rsidR="00430B37" w:rsidRPr="00EE5381" w:rsidRDefault="00EE5381" w:rsidP="00276F21">
      <w:pPr>
        <w:spacing w:line="240" w:lineRule="auto"/>
        <w:jc w:val="both"/>
        <w:rPr>
          <w:rFonts w:ascii="Times New Roman" w:hAnsi="Times New Roman" w:cs="Times New Roman"/>
          <w:b/>
          <w:color w:val="000000" w:themeColor="text1"/>
          <w:sz w:val="24"/>
          <w:szCs w:val="24"/>
        </w:rPr>
      </w:pPr>
      <w:proofErr w:type="gramStart"/>
      <w:r w:rsidRPr="00EE5381">
        <w:rPr>
          <w:rFonts w:ascii="Times New Roman" w:hAnsi="Times New Roman" w:cs="Times New Roman"/>
          <w:b/>
          <w:color w:val="000000" w:themeColor="text1"/>
          <w:sz w:val="24"/>
          <w:szCs w:val="24"/>
        </w:rPr>
        <w:t xml:space="preserve">O </w:t>
      </w:r>
      <w:r w:rsidR="00430B37" w:rsidRPr="00EE5381">
        <w:rPr>
          <w:rFonts w:ascii="Times New Roman" w:hAnsi="Times New Roman" w:cs="Times New Roman"/>
          <w:b/>
          <w:color w:val="000000" w:themeColor="text1"/>
          <w:sz w:val="24"/>
          <w:szCs w:val="24"/>
        </w:rPr>
        <w:t xml:space="preserve"> Poder</w:t>
      </w:r>
      <w:proofErr w:type="gramEnd"/>
      <w:r w:rsidR="00430B37" w:rsidRPr="00EE5381">
        <w:rPr>
          <w:rFonts w:ascii="Times New Roman" w:hAnsi="Times New Roman" w:cs="Times New Roman"/>
          <w:b/>
          <w:color w:val="000000" w:themeColor="text1"/>
          <w:sz w:val="24"/>
          <w:szCs w:val="24"/>
        </w:rPr>
        <w:t xml:space="preserve"> Monetário Estrutural Americano </w:t>
      </w:r>
    </w:p>
    <w:p w:rsidR="00430B37" w:rsidRPr="00332D83" w:rsidRDefault="003E1CE5" w:rsidP="00276F21">
      <w:pPr>
        <w:spacing w:line="240" w:lineRule="auto"/>
        <w:jc w:val="both"/>
        <w:rPr>
          <w:rFonts w:ascii="Times New Roman" w:hAnsi="Times New Roman" w:cs="Times New Roman"/>
          <w:color w:val="000000" w:themeColor="text1"/>
          <w:sz w:val="24"/>
          <w:szCs w:val="24"/>
        </w:rPr>
      </w:pPr>
      <w:r w:rsidRPr="00332D83">
        <w:rPr>
          <w:rFonts w:ascii="Times New Roman" w:hAnsi="Times New Roman" w:cs="Times New Roman"/>
          <w:color w:val="000000" w:themeColor="text1"/>
          <w:sz w:val="24"/>
          <w:szCs w:val="24"/>
        </w:rPr>
        <w:t xml:space="preserve">O processo de </w:t>
      </w:r>
      <w:r w:rsidR="005D33D9" w:rsidRPr="00332D83">
        <w:rPr>
          <w:rFonts w:ascii="Times New Roman" w:hAnsi="Times New Roman" w:cs="Times New Roman"/>
          <w:color w:val="000000" w:themeColor="text1"/>
          <w:sz w:val="24"/>
          <w:szCs w:val="24"/>
        </w:rPr>
        <w:t>constituição do</w:t>
      </w:r>
      <w:r w:rsidR="00DE4A61" w:rsidRPr="00332D83">
        <w:rPr>
          <w:rFonts w:ascii="Times New Roman" w:hAnsi="Times New Roman" w:cs="Times New Roman"/>
          <w:color w:val="000000" w:themeColor="text1"/>
          <w:sz w:val="24"/>
          <w:szCs w:val="24"/>
        </w:rPr>
        <w:t xml:space="preserve"> dólar como </w:t>
      </w:r>
      <w:r w:rsidR="004E24BA" w:rsidRPr="00332D83">
        <w:rPr>
          <w:rFonts w:ascii="Times New Roman" w:hAnsi="Times New Roman" w:cs="Times New Roman"/>
          <w:color w:val="000000" w:themeColor="text1"/>
          <w:sz w:val="24"/>
          <w:szCs w:val="24"/>
        </w:rPr>
        <w:t>moeda central da economia internacional</w:t>
      </w:r>
      <w:r w:rsidR="00DE4A61" w:rsidRPr="00332D83">
        <w:rPr>
          <w:rFonts w:ascii="Times New Roman" w:hAnsi="Times New Roman" w:cs="Times New Roman"/>
          <w:color w:val="000000" w:themeColor="text1"/>
          <w:sz w:val="24"/>
          <w:szCs w:val="24"/>
        </w:rPr>
        <w:t xml:space="preserve"> </w:t>
      </w:r>
      <w:r w:rsidR="007C0ADF" w:rsidRPr="00332D83">
        <w:rPr>
          <w:rFonts w:ascii="Times New Roman" w:hAnsi="Times New Roman" w:cs="Times New Roman"/>
          <w:color w:val="000000" w:themeColor="text1"/>
          <w:sz w:val="24"/>
          <w:szCs w:val="24"/>
        </w:rPr>
        <w:t>guard</w:t>
      </w:r>
      <w:r w:rsidR="00FF5555" w:rsidRPr="00332D83">
        <w:rPr>
          <w:rFonts w:ascii="Times New Roman" w:hAnsi="Times New Roman" w:cs="Times New Roman"/>
          <w:color w:val="000000" w:themeColor="text1"/>
          <w:sz w:val="24"/>
          <w:szCs w:val="24"/>
        </w:rPr>
        <w:t>ou</w:t>
      </w:r>
      <w:r w:rsidR="00DE4A61" w:rsidRPr="00332D83">
        <w:rPr>
          <w:rFonts w:ascii="Times New Roman" w:hAnsi="Times New Roman" w:cs="Times New Roman"/>
          <w:color w:val="000000" w:themeColor="text1"/>
          <w:sz w:val="24"/>
          <w:szCs w:val="24"/>
        </w:rPr>
        <w:t xml:space="preserve"> </w:t>
      </w:r>
      <w:r w:rsidRPr="00332D83">
        <w:rPr>
          <w:rFonts w:ascii="Times New Roman" w:hAnsi="Times New Roman" w:cs="Times New Roman"/>
          <w:color w:val="000000" w:themeColor="text1"/>
          <w:sz w:val="24"/>
          <w:szCs w:val="24"/>
        </w:rPr>
        <w:t>grandes</w:t>
      </w:r>
      <w:r w:rsidR="00056FDD" w:rsidRPr="00332D83">
        <w:rPr>
          <w:rFonts w:ascii="Times New Roman" w:hAnsi="Times New Roman" w:cs="Times New Roman"/>
          <w:color w:val="000000" w:themeColor="text1"/>
          <w:sz w:val="24"/>
          <w:szCs w:val="24"/>
        </w:rPr>
        <w:t xml:space="preserve"> </w:t>
      </w:r>
      <w:r w:rsidR="007C0ADF" w:rsidRPr="00332D83">
        <w:rPr>
          <w:rFonts w:ascii="Times New Roman" w:hAnsi="Times New Roman" w:cs="Times New Roman"/>
          <w:color w:val="000000" w:themeColor="text1"/>
          <w:sz w:val="24"/>
          <w:szCs w:val="24"/>
        </w:rPr>
        <w:t>diferenças frente</w:t>
      </w:r>
      <w:r w:rsidR="00056FDD" w:rsidRPr="00332D83">
        <w:rPr>
          <w:rFonts w:ascii="Times New Roman" w:hAnsi="Times New Roman" w:cs="Times New Roman"/>
          <w:color w:val="000000" w:themeColor="text1"/>
          <w:sz w:val="24"/>
          <w:szCs w:val="24"/>
        </w:rPr>
        <w:t xml:space="preserve"> </w:t>
      </w:r>
      <w:r w:rsidR="004E24BA" w:rsidRPr="00332D83">
        <w:rPr>
          <w:rFonts w:ascii="Times New Roman" w:hAnsi="Times New Roman" w:cs="Times New Roman"/>
          <w:color w:val="000000" w:themeColor="text1"/>
          <w:sz w:val="24"/>
          <w:szCs w:val="24"/>
        </w:rPr>
        <w:t>à montagem</w:t>
      </w:r>
      <w:r w:rsidR="007C0ADF" w:rsidRPr="00332D83">
        <w:rPr>
          <w:rFonts w:ascii="Times New Roman" w:hAnsi="Times New Roman" w:cs="Times New Roman"/>
          <w:color w:val="000000" w:themeColor="text1"/>
          <w:sz w:val="24"/>
          <w:szCs w:val="24"/>
        </w:rPr>
        <w:t xml:space="preserve"> do</w:t>
      </w:r>
      <w:r w:rsidR="00DE4A61" w:rsidRPr="00332D83">
        <w:rPr>
          <w:rFonts w:ascii="Times New Roman" w:hAnsi="Times New Roman" w:cs="Times New Roman"/>
          <w:color w:val="000000" w:themeColor="text1"/>
          <w:sz w:val="24"/>
          <w:szCs w:val="24"/>
        </w:rPr>
        <w:t xml:space="preserve"> </w:t>
      </w:r>
      <w:r w:rsidR="00FF5555" w:rsidRPr="00332D83">
        <w:rPr>
          <w:rFonts w:ascii="Times New Roman" w:hAnsi="Times New Roman" w:cs="Times New Roman"/>
          <w:color w:val="000000" w:themeColor="text1"/>
          <w:sz w:val="24"/>
          <w:szCs w:val="24"/>
        </w:rPr>
        <w:t>padrão</w:t>
      </w:r>
      <w:r w:rsidR="00CD76FF" w:rsidRPr="00332D83">
        <w:rPr>
          <w:rFonts w:ascii="Times New Roman" w:hAnsi="Times New Roman" w:cs="Times New Roman"/>
          <w:color w:val="000000" w:themeColor="text1"/>
          <w:sz w:val="24"/>
          <w:szCs w:val="24"/>
        </w:rPr>
        <w:t xml:space="preserve"> </w:t>
      </w:r>
      <w:r w:rsidR="00DE4A61" w:rsidRPr="00332D83">
        <w:rPr>
          <w:rFonts w:ascii="Times New Roman" w:hAnsi="Times New Roman" w:cs="Times New Roman"/>
          <w:color w:val="000000" w:themeColor="text1"/>
          <w:sz w:val="24"/>
          <w:szCs w:val="24"/>
        </w:rPr>
        <w:t>ouro-libra</w:t>
      </w:r>
      <w:r w:rsidR="004E24BA" w:rsidRPr="00332D83">
        <w:rPr>
          <w:rFonts w:ascii="Times New Roman" w:hAnsi="Times New Roman" w:cs="Times New Roman"/>
          <w:color w:val="000000" w:themeColor="text1"/>
          <w:sz w:val="24"/>
          <w:szCs w:val="24"/>
        </w:rPr>
        <w:t>,</w:t>
      </w:r>
      <w:r w:rsidR="005D33D9" w:rsidRPr="00332D83">
        <w:rPr>
          <w:rFonts w:ascii="Times New Roman" w:hAnsi="Times New Roman" w:cs="Times New Roman"/>
          <w:color w:val="000000" w:themeColor="text1"/>
          <w:sz w:val="24"/>
          <w:szCs w:val="24"/>
        </w:rPr>
        <w:t xml:space="preserve"> que o antecedeu</w:t>
      </w:r>
      <w:r w:rsidR="00DE4A61" w:rsidRPr="00332D83">
        <w:rPr>
          <w:rFonts w:ascii="Times New Roman" w:hAnsi="Times New Roman" w:cs="Times New Roman"/>
          <w:color w:val="000000" w:themeColor="text1"/>
          <w:sz w:val="24"/>
          <w:szCs w:val="24"/>
        </w:rPr>
        <w:t xml:space="preserve">. </w:t>
      </w:r>
      <w:r w:rsidR="00CD76FF" w:rsidRPr="00332D83">
        <w:rPr>
          <w:rFonts w:ascii="Times New Roman" w:hAnsi="Times New Roman" w:cs="Times New Roman"/>
          <w:color w:val="000000" w:themeColor="text1"/>
          <w:sz w:val="24"/>
          <w:szCs w:val="24"/>
        </w:rPr>
        <w:t xml:space="preserve">A transição entre os dois sistemas </w:t>
      </w:r>
      <w:r w:rsidR="00056FDD" w:rsidRPr="00332D83">
        <w:rPr>
          <w:rFonts w:ascii="Times New Roman" w:hAnsi="Times New Roman" w:cs="Times New Roman"/>
          <w:color w:val="000000" w:themeColor="text1"/>
          <w:sz w:val="24"/>
          <w:szCs w:val="24"/>
        </w:rPr>
        <w:t xml:space="preserve">não </w:t>
      </w:r>
      <w:r w:rsidRPr="00332D83">
        <w:rPr>
          <w:rFonts w:ascii="Times New Roman" w:hAnsi="Times New Roman" w:cs="Times New Roman"/>
          <w:color w:val="000000" w:themeColor="text1"/>
          <w:sz w:val="24"/>
          <w:szCs w:val="24"/>
        </w:rPr>
        <w:t xml:space="preserve">foi uma </w:t>
      </w:r>
      <w:r w:rsidR="00DE4A61" w:rsidRPr="00332D83">
        <w:rPr>
          <w:rFonts w:ascii="Times New Roman" w:hAnsi="Times New Roman" w:cs="Times New Roman"/>
          <w:color w:val="000000" w:themeColor="text1"/>
          <w:sz w:val="24"/>
          <w:szCs w:val="24"/>
        </w:rPr>
        <w:t xml:space="preserve">simples </w:t>
      </w:r>
      <w:r w:rsidR="000031C7" w:rsidRPr="00332D83">
        <w:rPr>
          <w:rFonts w:ascii="Times New Roman" w:hAnsi="Times New Roman" w:cs="Times New Roman"/>
          <w:color w:val="000000" w:themeColor="text1"/>
          <w:sz w:val="24"/>
          <w:szCs w:val="24"/>
        </w:rPr>
        <w:t>“</w:t>
      </w:r>
      <w:r w:rsidR="00DE4A61" w:rsidRPr="00332D83">
        <w:rPr>
          <w:rFonts w:ascii="Times New Roman" w:hAnsi="Times New Roman" w:cs="Times New Roman"/>
          <w:color w:val="000000" w:themeColor="text1"/>
          <w:sz w:val="24"/>
          <w:szCs w:val="24"/>
        </w:rPr>
        <w:t xml:space="preserve">mudança </w:t>
      </w:r>
      <w:r w:rsidRPr="00332D83">
        <w:rPr>
          <w:rFonts w:ascii="Times New Roman" w:hAnsi="Times New Roman" w:cs="Times New Roman"/>
          <w:color w:val="000000" w:themeColor="text1"/>
          <w:sz w:val="24"/>
          <w:szCs w:val="24"/>
        </w:rPr>
        <w:t xml:space="preserve">de </w:t>
      </w:r>
      <w:r w:rsidR="000031C7" w:rsidRPr="00332D83">
        <w:rPr>
          <w:rFonts w:ascii="Times New Roman" w:hAnsi="Times New Roman" w:cs="Times New Roman"/>
          <w:color w:val="000000" w:themeColor="text1"/>
          <w:sz w:val="24"/>
          <w:szCs w:val="24"/>
        </w:rPr>
        <w:t>guarda”</w:t>
      </w:r>
      <w:r w:rsidRPr="00332D83">
        <w:rPr>
          <w:rFonts w:ascii="Times New Roman" w:hAnsi="Times New Roman" w:cs="Times New Roman"/>
          <w:color w:val="000000" w:themeColor="text1"/>
          <w:sz w:val="24"/>
          <w:szCs w:val="24"/>
        </w:rPr>
        <w:t xml:space="preserve"> entre moedas </w:t>
      </w:r>
      <w:r w:rsidR="000031C7" w:rsidRPr="00332D83">
        <w:rPr>
          <w:rFonts w:ascii="Times New Roman" w:hAnsi="Times New Roman" w:cs="Times New Roman"/>
          <w:color w:val="000000" w:themeColor="text1"/>
          <w:sz w:val="24"/>
          <w:szCs w:val="24"/>
        </w:rPr>
        <w:t xml:space="preserve">e países gestores </w:t>
      </w:r>
      <w:r w:rsidRPr="00332D83">
        <w:rPr>
          <w:rFonts w:ascii="Times New Roman" w:hAnsi="Times New Roman" w:cs="Times New Roman"/>
          <w:color w:val="000000" w:themeColor="text1"/>
          <w:sz w:val="24"/>
          <w:szCs w:val="24"/>
        </w:rPr>
        <w:t>do sistema monetário internacional</w:t>
      </w:r>
      <w:r w:rsidR="00DE4A61" w:rsidRPr="00332D83">
        <w:rPr>
          <w:rFonts w:ascii="Times New Roman" w:hAnsi="Times New Roman" w:cs="Times New Roman"/>
          <w:color w:val="000000" w:themeColor="text1"/>
          <w:sz w:val="24"/>
          <w:szCs w:val="24"/>
        </w:rPr>
        <w:t>. Pelo contrário, os americanos olharam a 2ª Guerra Mundial como uma oportunidade não só para consagrar</w:t>
      </w:r>
      <w:r w:rsidR="004E24BA" w:rsidRPr="00332D83">
        <w:rPr>
          <w:rFonts w:ascii="Times New Roman" w:hAnsi="Times New Roman" w:cs="Times New Roman"/>
          <w:color w:val="000000" w:themeColor="text1"/>
          <w:sz w:val="24"/>
          <w:szCs w:val="24"/>
        </w:rPr>
        <w:t>em</w:t>
      </w:r>
      <w:r w:rsidR="00DE4A61" w:rsidRPr="00332D83">
        <w:rPr>
          <w:rFonts w:ascii="Times New Roman" w:hAnsi="Times New Roman" w:cs="Times New Roman"/>
          <w:color w:val="000000" w:themeColor="text1"/>
          <w:sz w:val="24"/>
          <w:szCs w:val="24"/>
        </w:rPr>
        <w:t xml:space="preserve"> sua moeda como peça central d</w:t>
      </w:r>
      <w:r w:rsidR="00FF5555" w:rsidRPr="00332D83">
        <w:rPr>
          <w:rFonts w:ascii="Times New Roman" w:hAnsi="Times New Roman" w:cs="Times New Roman"/>
          <w:color w:val="000000" w:themeColor="text1"/>
          <w:sz w:val="24"/>
          <w:szCs w:val="24"/>
        </w:rPr>
        <w:t>e um</w:t>
      </w:r>
      <w:r w:rsidR="00DE4A61" w:rsidRPr="00332D83">
        <w:rPr>
          <w:rFonts w:ascii="Times New Roman" w:hAnsi="Times New Roman" w:cs="Times New Roman"/>
          <w:color w:val="000000" w:themeColor="text1"/>
          <w:sz w:val="24"/>
          <w:szCs w:val="24"/>
        </w:rPr>
        <w:t xml:space="preserve"> novo sistema </w:t>
      </w:r>
      <w:r w:rsidR="000031C7" w:rsidRPr="00332D83">
        <w:rPr>
          <w:rFonts w:ascii="Times New Roman" w:hAnsi="Times New Roman" w:cs="Times New Roman"/>
          <w:color w:val="000000" w:themeColor="text1"/>
          <w:sz w:val="24"/>
          <w:szCs w:val="24"/>
        </w:rPr>
        <w:t>que desejavam impor</w:t>
      </w:r>
      <w:r w:rsidR="00031F13">
        <w:rPr>
          <w:rFonts w:ascii="Times New Roman" w:hAnsi="Times New Roman" w:cs="Times New Roman"/>
          <w:color w:val="000000" w:themeColor="text1"/>
          <w:sz w:val="24"/>
          <w:szCs w:val="24"/>
        </w:rPr>
        <w:t>, mas</w:t>
      </w:r>
      <w:r w:rsidR="00FF5555" w:rsidRPr="00332D83">
        <w:rPr>
          <w:rFonts w:ascii="Times New Roman" w:hAnsi="Times New Roman" w:cs="Times New Roman"/>
          <w:color w:val="000000" w:themeColor="text1"/>
          <w:sz w:val="24"/>
          <w:szCs w:val="24"/>
        </w:rPr>
        <w:t xml:space="preserve"> </w:t>
      </w:r>
      <w:r w:rsidR="0094058E" w:rsidRPr="00332D83">
        <w:rPr>
          <w:rFonts w:ascii="Times New Roman" w:hAnsi="Times New Roman" w:cs="Times New Roman"/>
          <w:color w:val="000000" w:themeColor="text1"/>
          <w:sz w:val="24"/>
          <w:szCs w:val="24"/>
        </w:rPr>
        <w:t xml:space="preserve">também </w:t>
      </w:r>
      <w:r w:rsidR="00DE4A61" w:rsidRPr="00332D83">
        <w:rPr>
          <w:rFonts w:ascii="Times New Roman" w:hAnsi="Times New Roman" w:cs="Times New Roman"/>
          <w:color w:val="000000" w:themeColor="text1"/>
          <w:sz w:val="24"/>
          <w:szCs w:val="24"/>
        </w:rPr>
        <w:t xml:space="preserve">para </w:t>
      </w:r>
      <w:r w:rsidR="00FF5555" w:rsidRPr="00332D83">
        <w:rPr>
          <w:rFonts w:ascii="Times New Roman" w:hAnsi="Times New Roman" w:cs="Times New Roman"/>
          <w:color w:val="000000" w:themeColor="text1"/>
          <w:sz w:val="24"/>
          <w:szCs w:val="24"/>
        </w:rPr>
        <w:t>desmontar</w:t>
      </w:r>
      <w:r w:rsidR="00DE4A61" w:rsidRPr="00332D83">
        <w:rPr>
          <w:rFonts w:ascii="Times New Roman" w:hAnsi="Times New Roman" w:cs="Times New Roman"/>
          <w:color w:val="000000" w:themeColor="text1"/>
          <w:sz w:val="24"/>
          <w:szCs w:val="24"/>
        </w:rPr>
        <w:t xml:space="preserve"> </w:t>
      </w:r>
      <w:r w:rsidR="000031C7" w:rsidRPr="00332D83">
        <w:rPr>
          <w:rFonts w:ascii="Times New Roman" w:hAnsi="Times New Roman" w:cs="Times New Roman"/>
          <w:color w:val="000000" w:themeColor="text1"/>
          <w:sz w:val="24"/>
          <w:szCs w:val="24"/>
        </w:rPr>
        <w:t>seu único</w:t>
      </w:r>
      <w:r w:rsidRPr="00332D83">
        <w:rPr>
          <w:rFonts w:ascii="Times New Roman" w:hAnsi="Times New Roman" w:cs="Times New Roman"/>
          <w:color w:val="000000" w:themeColor="text1"/>
          <w:sz w:val="24"/>
          <w:szCs w:val="24"/>
        </w:rPr>
        <w:t xml:space="preserve"> </w:t>
      </w:r>
      <w:r w:rsidR="00DE4A61" w:rsidRPr="00332D83">
        <w:rPr>
          <w:rFonts w:ascii="Times New Roman" w:hAnsi="Times New Roman" w:cs="Times New Roman"/>
          <w:color w:val="000000" w:themeColor="text1"/>
          <w:sz w:val="24"/>
          <w:szCs w:val="24"/>
        </w:rPr>
        <w:t xml:space="preserve">competidor próximo, </w:t>
      </w:r>
      <w:r w:rsidR="00031F13">
        <w:rPr>
          <w:rFonts w:ascii="Times New Roman" w:hAnsi="Times New Roman" w:cs="Times New Roman"/>
          <w:color w:val="000000" w:themeColor="text1"/>
          <w:sz w:val="24"/>
          <w:szCs w:val="24"/>
        </w:rPr>
        <w:t>a Inglaterra</w:t>
      </w:r>
      <w:r w:rsidR="00DE4A61" w:rsidRPr="00332D83">
        <w:rPr>
          <w:rFonts w:ascii="Times New Roman" w:hAnsi="Times New Roman" w:cs="Times New Roman"/>
          <w:color w:val="000000" w:themeColor="text1"/>
          <w:sz w:val="24"/>
          <w:szCs w:val="24"/>
        </w:rPr>
        <w:t>.</w:t>
      </w:r>
    </w:p>
    <w:p w:rsidR="00CD76FF" w:rsidRPr="00332D83" w:rsidRDefault="0094058E"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Essa estratégia</w:t>
      </w:r>
      <w:r w:rsidR="0065659B" w:rsidRPr="00332D83">
        <w:rPr>
          <w:rFonts w:ascii="Times New Roman" w:hAnsi="Times New Roman" w:cs="Times New Roman"/>
          <w:sz w:val="24"/>
          <w:szCs w:val="24"/>
        </w:rPr>
        <w:t xml:space="preserve"> </w:t>
      </w:r>
      <w:r w:rsidRPr="00332D83">
        <w:rPr>
          <w:rFonts w:ascii="Times New Roman" w:hAnsi="Times New Roman" w:cs="Times New Roman"/>
          <w:sz w:val="24"/>
          <w:szCs w:val="24"/>
        </w:rPr>
        <w:t>foi distinta da</w:t>
      </w:r>
      <w:r w:rsidR="0065659B" w:rsidRPr="00332D83">
        <w:rPr>
          <w:rFonts w:ascii="Times New Roman" w:hAnsi="Times New Roman" w:cs="Times New Roman"/>
          <w:sz w:val="24"/>
          <w:szCs w:val="24"/>
        </w:rPr>
        <w:t>quela</w:t>
      </w:r>
      <w:r w:rsidR="00737E91" w:rsidRPr="00332D83">
        <w:rPr>
          <w:rFonts w:ascii="Times New Roman" w:hAnsi="Times New Roman" w:cs="Times New Roman"/>
          <w:sz w:val="24"/>
          <w:szCs w:val="24"/>
        </w:rPr>
        <w:t xml:space="preserve"> que os EUA seguiram </w:t>
      </w:r>
      <w:r w:rsidR="000031C7" w:rsidRPr="00332D83">
        <w:rPr>
          <w:rFonts w:ascii="Times New Roman" w:hAnsi="Times New Roman" w:cs="Times New Roman"/>
          <w:sz w:val="24"/>
          <w:szCs w:val="24"/>
        </w:rPr>
        <w:t>ao</w:t>
      </w:r>
      <w:r w:rsidRPr="00332D83">
        <w:rPr>
          <w:rFonts w:ascii="Times New Roman" w:hAnsi="Times New Roman" w:cs="Times New Roman"/>
          <w:sz w:val="24"/>
          <w:szCs w:val="24"/>
        </w:rPr>
        <w:t xml:space="preserve"> final da</w:t>
      </w:r>
      <w:r w:rsidR="00430B37" w:rsidRPr="00332D83">
        <w:rPr>
          <w:rFonts w:ascii="Times New Roman" w:hAnsi="Times New Roman" w:cs="Times New Roman"/>
          <w:sz w:val="24"/>
          <w:szCs w:val="24"/>
        </w:rPr>
        <w:t xml:space="preserve"> 1ª Grande Guerra</w:t>
      </w:r>
      <w:r w:rsidR="00CD76FF" w:rsidRPr="00332D83">
        <w:rPr>
          <w:rFonts w:ascii="Times New Roman" w:hAnsi="Times New Roman" w:cs="Times New Roman"/>
          <w:sz w:val="24"/>
          <w:szCs w:val="24"/>
        </w:rPr>
        <w:t>. N</w:t>
      </w:r>
      <w:r w:rsidR="004E24BA" w:rsidRPr="00332D83">
        <w:rPr>
          <w:rFonts w:ascii="Times New Roman" w:hAnsi="Times New Roman" w:cs="Times New Roman"/>
          <w:sz w:val="24"/>
          <w:szCs w:val="24"/>
        </w:rPr>
        <w:t>aquela</w:t>
      </w:r>
      <w:r w:rsidR="00CD76FF" w:rsidRPr="00332D83">
        <w:rPr>
          <w:rFonts w:ascii="Times New Roman" w:hAnsi="Times New Roman" w:cs="Times New Roman"/>
          <w:sz w:val="24"/>
          <w:szCs w:val="24"/>
        </w:rPr>
        <w:t xml:space="preserve"> oportunidade</w:t>
      </w:r>
      <w:r w:rsidR="00DF2412" w:rsidRPr="00332D83">
        <w:rPr>
          <w:rFonts w:ascii="Times New Roman" w:hAnsi="Times New Roman" w:cs="Times New Roman"/>
          <w:sz w:val="24"/>
          <w:szCs w:val="24"/>
        </w:rPr>
        <w:t>,</w:t>
      </w:r>
      <w:r w:rsidR="00CD76FF" w:rsidRPr="00332D83">
        <w:rPr>
          <w:rFonts w:ascii="Times New Roman" w:hAnsi="Times New Roman" w:cs="Times New Roman"/>
          <w:sz w:val="24"/>
          <w:szCs w:val="24"/>
        </w:rPr>
        <w:t xml:space="preserve"> se preocuparam </w:t>
      </w:r>
      <w:r w:rsidR="00FF5555" w:rsidRPr="00332D83">
        <w:rPr>
          <w:rFonts w:ascii="Times New Roman" w:hAnsi="Times New Roman" w:cs="Times New Roman"/>
          <w:sz w:val="24"/>
          <w:szCs w:val="24"/>
        </w:rPr>
        <w:t xml:space="preserve">apenas </w:t>
      </w:r>
      <w:r w:rsidR="00CD76FF" w:rsidRPr="00332D83">
        <w:rPr>
          <w:rFonts w:ascii="Times New Roman" w:hAnsi="Times New Roman" w:cs="Times New Roman"/>
          <w:sz w:val="24"/>
          <w:szCs w:val="24"/>
        </w:rPr>
        <w:t>em garantir</w:t>
      </w:r>
      <w:r w:rsidR="004E24BA" w:rsidRPr="00332D83">
        <w:rPr>
          <w:rFonts w:ascii="Times New Roman" w:hAnsi="Times New Roman" w:cs="Times New Roman"/>
          <w:sz w:val="24"/>
          <w:szCs w:val="24"/>
        </w:rPr>
        <w:t>, para seus bancos e para sua moeda,</w:t>
      </w:r>
      <w:r w:rsidR="00CD76FF" w:rsidRPr="00332D83">
        <w:rPr>
          <w:rFonts w:ascii="Times New Roman" w:hAnsi="Times New Roman" w:cs="Times New Roman"/>
          <w:sz w:val="24"/>
          <w:szCs w:val="24"/>
        </w:rPr>
        <w:t xml:space="preserve"> uma presença forte e ativa no mercado internacional. </w:t>
      </w:r>
      <w:r w:rsidR="00103185" w:rsidRPr="00332D83">
        <w:rPr>
          <w:rFonts w:ascii="Times New Roman" w:hAnsi="Times New Roman" w:cs="Times New Roman"/>
          <w:sz w:val="24"/>
          <w:szCs w:val="24"/>
        </w:rPr>
        <w:t xml:space="preserve">Wall Street </w:t>
      </w:r>
      <w:r w:rsidR="003E1CE5" w:rsidRPr="00332D83">
        <w:rPr>
          <w:rFonts w:ascii="Times New Roman" w:hAnsi="Times New Roman" w:cs="Times New Roman"/>
          <w:sz w:val="24"/>
          <w:szCs w:val="24"/>
        </w:rPr>
        <w:t>passaria a ser</w:t>
      </w:r>
      <w:r w:rsidR="00056FDD" w:rsidRPr="00332D83">
        <w:rPr>
          <w:rFonts w:ascii="Times New Roman" w:hAnsi="Times New Roman" w:cs="Times New Roman"/>
          <w:sz w:val="24"/>
          <w:szCs w:val="24"/>
        </w:rPr>
        <w:t xml:space="preserve"> </w:t>
      </w:r>
      <w:r w:rsidR="00103185" w:rsidRPr="00332D83">
        <w:rPr>
          <w:rFonts w:ascii="Times New Roman" w:hAnsi="Times New Roman" w:cs="Times New Roman"/>
          <w:sz w:val="24"/>
          <w:szCs w:val="24"/>
        </w:rPr>
        <w:t>um competidor</w:t>
      </w:r>
      <w:r w:rsidR="00DF2412" w:rsidRPr="00332D83">
        <w:rPr>
          <w:rFonts w:ascii="Times New Roman" w:hAnsi="Times New Roman" w:cs="Times New Roman"/>
          <w:sz w:val="24"/>
          <w:szCs w:val="24"/>
        </w:rPr>
        <w:t xml:space="preserve"> relevante </w:t>
      </w:r>
      <w:r w:rsidR="00FF5555" w:rsidRPr="00332D83">
        <w:rPr>
          <w:rFonts w:ascii="Times New Roman" w:hAnsi="Times New Roman" w:cs="Times New Roman"/>
          <w:sz w:val="24"/>
          <w:szCs w:val="24"/>
        </w:rPr>
        <w:t>da</w:t>
      </w:r>
      <w:r w:rsidR="00DF2412" w:rsidRPr="00332D83">
        <w:rPr>
          <w:rFonts w:ascii="Times New Roman" w:hAnsi="Times New Roman" w:cs="Times New Roman"/>
          <w:sz w:val="24"/>
          <w:szCs w:val="24"/>
        </w:rPr>
        <w:t xml:space="preserve"> </w:t>
      </w:r>
      <w:r w:rsidR="00103185" w:rsidRPr="00332D83">
        <w:rPr>
          <w:rFonts w:ascii="Times New Roman" w:hAnsi="Times New Roman" w:cs="Times New Roman"/>
          <w:sz w:val="24"/>
          <w:szCs w:val="24"/>
        </w:rPr>
        <w:t xml:space="preserve">City </w:t>
      </w:r>
      <w:r w:rsidR="003E1CE5" w:rsidRPr="00332D83">
        <w:rPr>
          <w:rFonts w:ascii="Times New Roman" w:hAnsi="Times New Roman" w:cs="Times New Roman"/>
          <w:sz w:val="24"/>
          <w:szCs w:val="24"/>
        </w:rPr>
        <w:t xml:space="preserve">e </w:t>
      </w:r>
      <w:r w:rsidR="00056FDD" w:rsidRPr="00332D83">
        <w:rPr>
          <w:rFonts w:ascii="Times New Roman" w:hAnsi="Times New Roman" w:cs="Times New Roman"/>
          <w:sz w:val="24"/>
          <w:szCs w:val="24"/>
        </w:rPr>
        <w:t>o</w:t>
      </w:r>
      <w:r w:rsidR="00DF2412" w:rsidRPr="00332D83">
        <w:rPr>
          <w:rFonts w:ascii="Times New Roman" w:hAnsi="Times New Roman" w:cs="Times New Roman"/>
          <w:sz w:val="24"/>
          <w:szCs w:val="24"/>
        </w:rPr>
        <w:t xml:space="preserve"> dólar </w:t>
      </w:r>
      <w:r w:rsidR="00737E91" w:rsidRPr="00332D83">
        <w:rPr>
          <w:rFonts w:ascii="Times New Roman" w:hAnsi="Times New Roman" w:cs="Times New Roman"/>
          <w:sz w:val="24"/>
          <w:szCs w:val="24"/>
        </w:rPr>
        <w:t>seria</w:t>
      </w:r>
      <w:r w:rsidR="00DF2412" w:rsidRPr="00332D83">
        <w:rPr>
          <w:rFonts w:ascii="Times New Roman" w:hAnsi="Times New Roman" w:cs="Times New Roman"/>
          <w:sz w:val="24"/>
          <w:szCs w:val="24"/>
        </w:rPr>
        <w:t xml:space="preserve"> uma </w:t>
      </w:r>
      <w:r w:rsidR="003E1CE5" w:rsidRPr="00332D83">
        <w:rPr>
          <w:rFonts w:ascii="Times New Roman" w:hAnsi="Times New Roman" w:cs="Times New Roman"/>
          <w:sz w:val="24"/>
          <w:szCs w:val="24"/>
        </w:rPr>
        <w:t>entre as</w:t>
      </w:r>
      <w:r w:rsidR="00DF2412" w:rsidRPr="00332D83">
        <w:rPr>
          <w:rFonts w:ascii="Times New Roman" w:hAnsi="Times New Roman" w:cs="Times New Roman"/>
          <w:sz w:val="24"/>
          <w:szCs w:val="24"/>
        </w:rPr>
        <w:t xml:space="preserve"> moedas relevantes </w:t>
      </w:r>
      <w:r w:rsidR="00737E91" w:rsidRPr="00332D83">
        <w:rPr>
          <w:rFonts w:ascii="Times New Roman" w:hAnsi="Times New Roman" w:cs="Times New Roman"/>
          <w:sz w:val="24"/>
          <w:szCs w:val="24"/>
        </w:rPr>
        <w:t>no sistema monetário internacional</w:t>
      </w:r>
      <w:r w:rsidR="00CD76FF" w:rsidRPr="00332D83">
        <w:rPr>
          <w:rFonts w:ascii="Times New Roman" w:hAnsi="Times New Roman" w:cs="Times New Roman"/>
          <w:sz w:val="24"/>
          <w:szCs w:val="24"/>
        </w:rPr>
        <w:t xml:space="preserve">. </w:t>
      </w:r>
      <w:r w:rsidR="00737E91" w:rsidRPr="00332D83">
        <w:rPr>
          <w:rFonts w:ascii="Times New Roman" w:hAnsi="Times New Roman" w:cs="Times New Roman"/>
          <w:sz w:val="24"/>
          <w:szCs w:val="24"/>
        </w:rPr>
        <w:t xml:space="preserve">Isto foi possível graças aos esforços conjuntos dos bancos americanos e do então recém-criado Federal Reserve, </w:t>
      </w:r>
      <w:r w:rsidR="00EF49F4" w:rsidRPr="00332D83">
        <w:rPr>
          <w:rFonts w:ascii="Times New Roman" w:hAnsi="Times New Roman" w:cs="Times New Roman"/>
          <w:sz w:val="24"/>
          <w:szCs w:val="24"/>
        </w:rPr>
        <w:t xml:space="preserve">o banco central americano, </w:t>
      </w:r>
      <w:r w:rsidR="00737E91" w:rsidRPr="00332D83">
        <w:rPr>
          <w:rFonts w:ascii="Times New Roman" w:hAnsi="Times New Roman" w:cs="Times New Roman"/>
          <w:sz w:val="24"/>
          <w:szCs w:val="24"/>
        </w:rPr>
        <w:t xml:space="preserve">para desenvolver um mercado de câmbio amplo e profundo </w:t>
      </w:r>
      <w:r w:rsidR="00EF49F4" w:rsidRPr="00332D83">
        <w:rPr>
          <w:rFonts w:ascii="Times New Roman" w:hAnsi="Times New Roman" w:cs="Times New Roman"/>
          <w:sz w:val="24"/>
          <w:szCs w:val="24"/>
        </w:rPr>
        <w:t>em Nova Iorque</w:t>
      </w:r>
      <w:r w:rsidR="00737E91" w:rsidRPr="00332D83">
        <w:rPr>
          <w:rFonts w:ascii="Times New Roman" w:hAnsi="Times New Roman" w:cs="Times New Roman"/>
          <w:sz w:val="24"/>
          <w:szCs w:val="24"/>
        </w:rPr>
        <w:t>, baseado no dólar. Os EUA foram a única praça de câmbio que se manteve aberta durante toda a 1ª Guerra (</w:t>
      </w:r>
      <w:r w:rsidR="001F6F50" w:rsidRPr="00332D83">
        <w:rPr>
          <w:rFonts w:ascii="Times New Roman" w:hAnsi="Times New Roman" w:cs="Times New Roman"/>
          <w:sz w:val="24"/>
          <w:szCs w:val="24"/>
        </w:rPr>
        <w:t>MIAGUT</w:t>
      </w:r>
      <w:r w:rsidR="00D67923">
        <w:rPr>
          <w:rFonts w:ascii="Times New Roman" w:hAnsi="Times New Roman" w:cs="Times New Roman"/>
          <w:sz w:val="24"/>
          <w:szCs w:val="24"/>
        </w:rPr>
        <w:t>I</w:t>
      </w:r>
      <w:r w:rsidR="00737E91" w:rsidRPr="00332D83">
        <w:rPr>
          <w:rFonts w:ascii="Times New Roman" w:hAnsi="Times New Roman" w:cs="Times New Roman"/>
          <w:sz w:val="24"/>
          <w:szCs w:val="24"/>
        </w:rPr>
        <w:t>, 2016).</w:t>
      </w:r>
    </w:p>
    <w:p w:rsidR="005D33D9" w:rsidRPr="00332D83" w:rsidRDefault="00EF49F4"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A</w:t>
      </w:r>
      <w:r w:rsidR="00DF2412" w:rsidRPr="00332D83">
        <w:rPr>
          <w:rFonts w:ascii="Times New Roman" w:hAnsi="Times New Roman" w:cs="Times New Roman"/>
          <w:sz w:val="24"/>
          <w:szCs w:val="24"/>
        </w:rPr>
        <w:t xml:space="preserve"> entrada dos Estados Unidos </w:t>
      </w:r>
      <w:r w:rsidRPr="00332D83">
        <w:rPr>
          <w:rFonts w:ascii="Times New Roman" w:hAnsi="Times New Roman" w:cs="Times New Roman"/>
          <w:sz w:val="24"/>
          <w:szCs w:val="24"/>
        </w:rPr>
        <w:t xml:space="preserve">no “clube do ouro”, </w:t>
      </w:r>
      <w:r w:rsidR="00DF2412" w:rsidRPr="00332D83">
        <w:rPr>
          <w:rFonts w:ascii="Times New Roman" w:hAnsi="Times New Roman" w:cs="Times New Roman"/>
          <w:sz w:val="24"/>
          <w:szCs w:val="24"/>
        </w:rPr>
        <w:t xml:space="preserve">como ator relevante </w:t>
      </w:r>
      <w:r w:rsidR="00310A3C" w:rsidRPr="00332D83">
        <w:rPr>
          <w:rFonts w:ascii="Times New Roman" w:hAnsi="Times New Roman" w:cs="Times New Roman"/>
          <w:sz w:val="24"/>
          <w:szCs w:val="24"/>
        </w:rPr>
        <w:t>nos mercados e na</w:t>
      </w:r>
      <w:r w:rsidR="00DF2412" w:rsidRPr="00332D83">
        <w:rPr>
          <w:rFonts w:ascii="Times New Roman" w:hAnsi="Times New Roman" w:cs="Times New Roman"/>
          <w:sz w:val="24"/>
          <w:szCs w:val="24"/>
        </w:rPr>
        <w:t xml:space="preserve"> governança internaciona</w:t>
      </w:r>
      <w:r w:rsidR="00310A3C" w:rsidRPr="00332D83">
        <w:rPr>
          <w:rFonts w:ascii="Times New Roman" w:hAnsi="Times New Roman" w:cs="Times New Roman"/>
          <w:sz w:val="24"/>
          <w:szCs w:val="24"/>
        </w:rPr>
        <w:t>is</w:t>
      </w:r>
      <w:r w:rsidRPr="00332D83">
        <w:rPr>
          <w:rFonts w:ascii="Times New Roman" w:hAnsi="Times New Roman" w:cs="Times New Roman"/>
          <w:sz w:val="24"/>
          <w:szCs w:val="24"/>
        </w:rPr>
        <w:t>, gerou, no entanto, desequilíbrios estruturais que</w:t>
      </w:r>
      <w:r w:rsidR="00DF2412" w:rsidRPr="00332D83">
        <w:rPr>
          <w:rFonts w:ascii="Times New Roman" w:hAnsi="Times New Roman" w:cs="Times New Roman"/>
          <w:sz w:val="24"/>
          <w:szCs w:val="24"/>
        </w:rPr>
        <w:t xml:space="preserve"> </w:t>
      </w:r>
      <w:r w:rsidRPr="00332D83">
        <w:rPr>
          <w:rFonts w:ascii="Times New Roman" w:hAnsi="Times New Roman" w:cs="Times New Roman"/>
          <w:sz w:val="24"/>
          <w:szCs w:val="24"/>
        </w:rPr>
        <w:t>impediram</w:t>
      </w:r>
      <w:r w:rsidR="00310A3C" w:rsidRPr="00332D83">
        <w:rPr>
          <w:rFonts w:ascii="Times New Roman" w:hAnsi="Times New Roman" w:cs="Times New Roman"/>
          <w:sz w:val="24"/>
          <w:szCs w:val="24"/>
        </w:rPr>
        <w:t xml:space="preserve"> que o sistema monetário internacional conseguisse</w:t>
      </w:r>
      <w:r w:rsidR="00056FDD" w:rsidRPr="00332D83">
        <w:rPr>
          <w:rFonts w:ascii="Times New Roman" w:hAnsi="Times New Roman" w:cs="Times New Roman"/>
          <w:sz w:val="24"/>
          <w:szCs w:val="24"/>
        </w:rPr>
        <w:t>, de forma estável,</w:t>
      </w:r>
      <w:r w:rsidR="00310A3C" w:rsidRPr="00332D83">
        <w:rPr>
          <w:rFonts w:ascii="Times New Roman" w:hAnsi="Times New Roman" w:cs="Times New Roman"/>
          <w:sz w:val="24"/>
          <w:szCs w:val="24"/>
        </w:rPr>
        <w:t xml:space="preserve"> retornar ao</w:t>
      </w:r>
      <w:r w:rsidR="00CD76FF" w:rsidRPr="00332D83">
        <w:rPr>
          <w:rFonts w:ascii="Times New Roman" w:hAnsi="Times New Roman" w:cs="Times New Roman"/>
          <w:sz w:val="24"/>
          <w:szCs w:val="24"/>
        </w:rPr>
        <w:t xml:space="preserve"> status quo </w:t>
      </w:r>
      <w:r w:rsidR="004E24BA" w:rsidRPr="00332D83">
        <w:rPr>
          <w:rFonts w:ascii="Times New Roman" w:hAnsi="Times New Roman" w:cs="Times New Roman"/>
          <w:sz w:val="24"/>
          <w:szCs w:val="24"/>
        </w:rPr>
        <w:t>pré-</w:t>
      </w:r>
      <w:r w:rsidR="002611ED" w:rsidRPr="00332D83">
        <w:rPr>
          <w:rFonts w:ascii="Times New Roman" w:hAnsi="Times New Roman" w:cs="Times New Roman"/>
          <w:sz w:val="24"/>
          <w:szCs w:val="24"/>
        </w:rPr>
        <w:t>1914</w:t>
      </w:r>
      <w:r w:rsidR="00CD76FF" w:rsidRPr="00332D83">
        <w:rPr>
          <w:rFonts w:ascii="Times New Roman" w:hAnsi="Times New Roman" w:cs="Times New Roman"/>
          <w:sz w:val="24"/>
          <w:szCs w:val="24"/>
        </w:rPr>
        <w:t xml:space="preserve">. </w:t>
      </w:r>
      <w:r w:rsidR="00CA3CF5" w:rsidRPr="00332D83">
        <w:rPr>
          <w:rFonts w:ascii="Times New Roman" w:hAnsi="Times New Roman" w:cs="Times New Roman"/>
          <w:sz w:val="24"/>
          <w:szCs w:val="24"/>
        </w:rPr>
        <w:t xml:space="preserve">Isso se </w:t>
      </w:r>
      <w:r w:rsidR="005D33D9" w:rsidRPr="00332D83">
        <w:rPr>
          <w:rFonts w:ascii="Times New Roman" w:hAnsi="Times New Roman" w:cs="Times New Roman"/>
          <w:sz w:val="24"/>
          <w:szCs w:val="24"/>
        </w:rPr>
        <w:t>deveu</w:t>
      </w:r>
      <w:r w:rsidR="007C0ADF" w:rsidRPr="00332D83">
        <w:rPr>
          <w:rFonts w:ascii="Times New Roman" w:hAnsi="Times New Roman" w:cs="Times New Roman"/>
          <w:sz w:val="24"/>
          <w:szCs w:val="24"/>
        </w:rPr>
        <w:t xml:space="preserve"> </w:t>
      </w:r>
      <w:r w:rsidR="0094058E" w:rsidRPr="00332D83">
        <w:rPr>
          <w:rFonts w:ascii="Times New Roman" w:hAnsi="Times New Roman" w:cs="Times New Roman"/>
          <w:sz w:val="24"/>
          <w:szCs w:val="24"/>
        </w:rPr>
        <w:t xml:space="preserve">à escala </w:t>
      </w:r>
      <w:r w:rsidR="003E1CE5" w:rsidRPr="00332D83">
        <w:rPr>
          <w:rFonts w:ascii="Times New Roman" w:hAnsi="Times New Roman" w:cs="Times New Roman"/>
          <w:sz w:val="24"/>
          <w:szCs w:val="24"/>
        </w:rPr>
        <w:t>que o</w:t>
      </w:r>
      <w:r w:rsidR="0094058E" w:rsidRPr="00332D83">
        <w:rPr>
          <w:rFonts w:ascii="Times New Roman" w:hAnsi="Times New Roman" w:cs="Times New Roman"/>
          <w:sz w:val="24"/>
          <w:szCs w:val="24"/>
        </w:rPr>
        <w:t xml:space="preserve">s financiamentos </w:t>
      </w:r>
      <w:r w:rsidRPr="00332D83">
        <w:rPr>
          <w:rFonts w:ascii="Times New Roman" w:hAnsi="Times New Roman" w:cs="Times New Roman"/>
          <w:sz w:val="24"/>
          <w:szCs w:val="24"/>
        </w:rPr>
        <w:t>dos ingleses junto ao</w:t>
      </w:r>
      <w:r w:rsidR="003E1CE5" w:rsidRPr="00332D83">
        <w:rPr>
          <w:rFonts w:ascii="Times New Roman" w:hAnsi="Times New Roman" w:cs="Times New Roman"/>
          <w:sz w:val="24"/>
          <w:szCs w:val="24"/>
        </w:rPr>
        <w:t xml:space="preserve"> sistema financeiro americano </w:t>
      </w:r>
      <w:r w:rsidRPr="00332D83">
        <w:rPr>
          <w:rFonts w:ascii="Times New Roman" w:hAnsi="Times New Roman" w:cs="Times New Roman"/>
          <w:sz w:val="24"/>
          <w:szCs w:val="24"/>
        </w:rPr>
        <w:t xml:space="preserve">em dólares </w:t>
      </w:r>
      <w:r w:rsidR="003E1CE5" w:rsidRPr="00332D83">
        <w:rPr>
          <w:rFonts w:ascii="Times New Roman" w:hAnsi="Times New Roman" w:cs="Times New Roman"/>
          <w:sz w:val="24"/>
          <w:szCs w:val="24"/>
        </w:rPr>
        <w:t xml:space="preserve">adquiriram </w:t>
      </w:r>
      <w:r w:rsidRPr="00332D83">
        <w:rPr>
          <w:rFonts w:ascii="Times New Roman" w:hAnsi="Times New Roman" w:cs="Times New Roman"/>
          <w:sz w:val="24"/>
          <w:szCs w:val="24"/>
        </w:rPr>
        <w:t>durante e nos anos que se seguiram ao</w:t>
      </w:r>
      <w:r w:rsidR="003E1CE5" w:rsidRPr="00332D83">
        <w:rPr>
          <w:rFonts w:ascii="Times New Roman" w:hAnsi="Times New Roman" w:cs="Times New Roman"/>
          <w:sz w:val="24"/>
          <w:szCs w:val="24"/>
        </w:rPr>
        <w:t xml:space="preserve"> </w:t>
      </w:r>
      <w:r w:rsidR="003E1CE5" w:rsidRPr="00332D83">
        <w:rPr>
          <w:rFonts w:ascii="Times New Roman" w:hAnsi="Times New Roman" w:cs="Times New Roman"/>
          <w:sz w:val="24"/>
          <w:szCs w:val="24"/>
        </w:rPr>
        <w:lastRenderedPageBreak/>
        <w:t>conflito</w:t>
      </w:r>
      <w:r w:rsidR="000031C7" w:rsidRPr="00332D83">
        <w:rPr>
          <w:rFonts w:ascii="Times New Roman" w:hAnsi="Times New Roman" w:cs="Times New Roman"/>
          <w:sz w:val="24"/>
          <w:szCs w:val="24"/>
        </w:rPr>
        <w:t xml:space="preserve"> e </w:t>
      </w:r>
      <w:r w:rsidRPr="00332D83">
        <w:rPr>
          <w:rFonts w:ascii="Times New Roman" w:hAnsi="Times New Roman" w:cs="Times New Roman"/>
          <w:sz w:val="24"/>
          <w:szCs w:val="24"/>
        </w:rPr>
        <w:t>à concorrência exercida por</w:t>
      </w:r>
      <w:r w:rsidR="000031C7" w:rsidRPr="00332D83">
        <w:rPr>
          <w:rFonts w:ascii="Times New Roman" w:hAnsi="Times New Roman" w:cs="Times New Roman"/>
          <w:sz w:val="24"/>
          <w:szCs w:val="24"/>
        </w:rPr>
        <w:t xml:space="preserve"> </w:t>
      </w:r>
      <w:r w:rsidR="005D33D9" w:rsidRPr="00332D83">
        <w:rPr>
          <w:rFonts w:ascii="Times New Roman" w:hAnsi="Times New Roman" w:cs="Times New Roman"/>
          <w:sz w:val="24"/>
          <w:szCs w:val="24"/>
        </w:rPr>
        <w:t>Nova Iorque</w:t>
      </w:r>
      <w:r w:rsidR="005A20D8" w:rsidRPr="00332D83">
        <w:rPr>
          <w:rFonts w:ascii="Times New Roman" w:hAnsi="Times New Roman" w:cs="Times New Roman"/>
          <w:sz w:val="24"/>
          <w:szCs w:val="24"/>
        </w:rPr>
        <w:t xml:space="preserve"> </w:t>
      </w:r>
      <w:r w:rsidR="005D33D9" w:rsidRPr="00332D83">
        <w:rPr>
          <w:rFonts w:ascii="Times New Roman" w:hAnsi="Times New Roman" w:cs="Times New Roman"/>
          <w:sz w:val="24"/>
          <w:szCs w:val="24"/>
        </w:rPr>
        <w:t>como centro financeiro internacional de porte</w:t>
      </w:r>
      <w:r w:rsidR="000031C7" w:rsidRPr="00332D83">
        <w:rPr>
          <w:rFonts w:ascii="Times New Roman" w:hAnsi="Times New Roman" w:cs="Times New Roman"/>
          <w:sz w:val="24"/>
          <w:szCs w:val="24"/>
        </w:rPr>
        <w:t xml:space="preserve">. </w:t>
      </w:r>
    </w:p>
    <w:p w:rsidR="00275D3F" w:rsidRPr="00332D83" w:rsidRDefault="00B21DDC"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Ao final </w:t>
      </w:r>
      <w:r w:rsidR="00EF49F4" w:rsidRPr="00332D83">
        <w:rPr>
          <w:rFonts w:ascii="Times New Roman" w:hAnsi="Times New Roman" w:cs="Times New Roman"/>
          <w:sz w:val="24"/>
          <w:szCs w:val="24"/>
        </w:rPr>
        <w:t>da 1ª Guerra</w:t>
      </w:r>
      <w:r w:rsidRPr="00332D83">
        <w:rPr>
          <w:rFonts w:ascii="Times New Roman" w:hAnsi="Times New Roman" w:cs="Times New Roman"/>
          <w:sz w:val="24"/>
          <w:szCs w:val="24"/>
        </w:rPr>
        <w:t>, os</w:t>
      </w:r>
      <w:r w:rsidR="008E19D9" w:rsidRPr="00332D83">
        <w:rPr>
          <w:rFonts w:ascii="Times New Roman" w:hAnsi="Times New Roman" w:cs="Times New Roman"/>
          <w:sz w:val="24"/>
          <w:szCs w:val="24"/>
        </w:rPr>
        <w:t xml:space="preserve"> créditos acumulados </w:t>
      </w:r>
      <w:r w:rsidR="00275D3F" w:rsidRPr="00332D83">
        <w:rPr>
          <w:rFonts w:ascii="Times New Roman" w:hAnsi="Times New Roman" w:cs="Times New Roman"/>
          <w:sz w:val="24"/>
          <w:szCs w:val="24"/>
        </w:rPr>
        <w:t xml:space="preserve">pelos EUA contra os Aliados </w:t>
      </w:r>
      <w:r w:rsidR="00A3774E" w:rsidRPr="00332D83">
        <w:rPr>
          <w:rFonts w:ascii="Times New Roman" w:hAnsi="Times New Roman" w:cs="Times New Roman"/>
          <w:sz w:val="24"/>
          <w:szCs w:val="24"/>
        </w:rPr>
        <w:t>atingiram</w:t>
      </w:r>
      <w:r w:rsidR="00275D3F" w:rsidRPr="00332D83">
        <w:rPr>
          <w:rFonts w:ascii="Times New Roman" w:hAnsi="Times New Roman" w:cs="Times New Roman"/>
          <w:sz w:val="24"/>
          <w:szCs w:val="24"/>
        </w:rPr>
        <w:t xml:space="preserve"> US$ 12 bilhões, sendo US$ 5 bilhões devidos pelos ingleses</w:t>
      </w:r>
      <w:r w:rsidR="00A3774E" w:rsidRPr="00332D83">
        <w:rPr>
          <w:rFonts w:ascii="Times New Roman" w:hAnsi="Times New Roman" w:cs="Times New Roman"/>
          <w:sz w:val="24"/>
          <w:szCs w:val="24"/>
        </w:rPr>
        <w:t xml:space="preserve">. </w:t>
      </w:r>
      <w:r w:rsidR="008E19D9" w:rsidRPr="00332D83">
        <w:rPr>
          <w:rFonts w:ascii="Times New Roman" w:hAnsi="Times New Roman" w:cs="Times New Roman"/>
          <w:sz w:val="24"/>
          <w:szCs w:val="24"/>
        </w:rPr>
        <w:t>A</w:t>
      </w:r>
      <w:r w:rsidR="00A3774E" w:rsidRPr="00332D83">
        <w:rPr>
          <w:rFonts w:ascii="Times New Roman" w:hAnsi="Times New Roman" w:cs="Times New Roman"/>
          <w:sz w:val="24"/>
          <w:szCs w:val="24"/>
        </w:rPr>
        <w:t xml:space="preserve"> posição credora americana foi</w:t>
      </w:r>
      <w:r w:rsidR="00D101F7" w:rsidRPr="00332D83">
        <w:rPr>
          <w:rFonts w:ascii="Times New Roman" w:hAnsi="Times New Roman" w:cs="Times New Roman"/>
          <w:sz w:val="24"/>
          <w:szCs w:val="24"/>
        </w:rPr>
        <w:t>,</w:t>
      </w:r>
      <w:r w:rsidR="00A3774E" w:rsidRPr="00332D83">
        <w:rPr>
          <w:rFonts w:ascii="Times New Roman" w:hAnsi="Times New Roman" w:cs="Times New Roman"/>
          <w:sz w:val="24"/>
          <w:szCs w:val="24"/>
        </w:rPr>
        <w:t xml:space="preserve"> ao longo dos anos 1920</w:t>
      </w:r>
      <w:r w:rsidR="00D101F7" w:rsidRPr="00332D83">
        <w:rPr>
          <w:rFonts w:ascii="Times New Roman" w:hAnsi="Times New Roman" w:cs="Times New Roman"/>
          <w:sz w:val="24"/>
          <w:szCs w:val="24"/>
        </w:rPr>
        <w:t xml:space="preserve">, </w:t>
      </w:r>
      <w:r w:rsidR="00A3774E" w:rsidRPr="00332D83">
        <w:rPr>
          <w:rFonts w:ascii="Times New Roman" w:hAnsi="Times New Roman" w:cs="Times New Roman"/>
          <w:sz w:val="24"/>
          <w:szCs w:val="24"/>
        </w:rPr>
        <w:t>reforçada p</w:t>
      </w:r>
      <w:r w:rsidR="008E19D9" w:rsidRPr="00332D83">
        <w:rPr>
          <w:rFonts w:ascii="Times New Roman" w:hAnsi="Times New Roman" w:cs="Times New Roman"/>
          <w:sz w:val="24"/>
          <w:szCs w:val="24"/>
        </w:rPr>
        <w:t>or</w:t>
      </w:r>
      <w:r w:rsidR="00A3774E" w:rsidRPr="00332D83">
        <w:rPr>
          <w:rFonts w:ascii="Times New Roman" w:hAnsi="Times New Roman" w:cs="Times New Roman"/>
          <w:sz w:val="24"/>
          <w:szCs w:val="24"/>
        </w:rPr>
        <w:t xml:space="preserve"> elevados superávits externos</w:t>
      </w:r>
      <w:r w:rsidR="000031C7" w:rsidRPr="00332D83">
        <w:rPr>
          <w:rFonts w:ascii="Times New Roman" w:hAnsi="Times New Roman" w:cs="Times New Roman"/>
          <w:sz w:val="24"/>
          <w:szCs w:val="24"/>
        </w:rPr>
        <w:t>,</w:t>
      </w:r>
      <w:r w:rsidR="00A3774E" w:rsidRPr="00332D83">
        <w:rPr>
          <w:rFonts w:ascii="Times New Roman" w:hAnsi="Times New Roman" w:cs="Times New Roman"/>
          <w:sz w:val="24"/>
          <w:szCs w:val="24"/>
        </w:rPr>
        <w:t xml:space="preserve"> </w:t>
      </w:r>
      <w:r w:rsidR="00D101F7" w:rsidRPr="00332D83">
        <w:rPr>
          <w:rFonts w:ascii="Times New Roman" w:hAnsi="Times New Roman" w:cs="Times New Roman"/>
          <w:sz w:val="24"/>
          <w:szCs w:val="24"/>
        </w:rPr>
        <w:t>que totalizaram</w:t>
      </w:r>
      <w:r w:rsidR="008E19D9" w:rsidRPr="00332D83">
        <w:rPr>
          <w:rFonts w:ascii="Times New Roman" w:hAnsi="Times New Roman" w:cs="Times New Roman"/>
          <w:sz w:val="24"/>
          <w:szCs w:val="24"/>
        </w:rPr>
        <w:t xml:space="preserve"> </w:t>
      </w:r>
      <w:r w:rsidR="00D101F7" w:rsidRPr="00332D83">
        <w:rPr>
          <w:rFonts w:ascii="Times New Roman" w:hAnsi="Times New Roman" w:cs="Times New Roman"/>
          <w:sz w:val="24"/>
          <w:szCs w:val="24"/>
        </w:rPr>
        <w:t>US$ 11 bilhões. Como resultado, os</w:t>
      </w:r>
      <w:r w:rsidR="007E0AF5" w:rsidRPr="00332D83">
        <w:rPr>
          <w:rFonts w:ascii="Times New Roman" w:hAnsi="Times New Roman" w:cs="Times New Roman"/>
          <w:sz w:val="24"/>
          <w:szCs w:val="24"/>
        </w:rPr>
        <w:t xml:space="preserve"> Estados Unidos </w:t>
      </w:r>
      <w:r w:rsidR="00D101F7" w:rsidRPr="00332D83">
        <w:rPr>
          <w:rFonts w:ascii="Times New Roman" w:hAnsi="Times New Roman" w:cs="Times New Roman"/>
          <w:sz w:val="24"/>
          <w:szCs w:val="24"/>
        </w:rPr>
        <w:t xml:space="preserve">em 1923 </w:t>
      </w:r>
      <w:r w:rsidR="00056FDD" w:rsidRPr="00332D83">
        <w:rPr>
          <w:rFonts w:ascii="Times New Roman" w:hAnsi="Times New Roman" w:cs="Times New Roman"/>
          <w:sz w:val="24"/>
          <w:szCs w:val="24"/>
        </w:rPr>
        <w:t>detinham</w:t>
      </w:r>
      <w:r w:rsidR="00D101F7" w:rsidRPr="00332D83">
        <w:rPr>
          <w:rFonts w:ascii="Times New Roman" w:hAnsi="Times New Roman" w:cs="Times New Roman"/>
          <w:sz w:val="24"/>
          <w:szCs w:val="24"/>
        </w:rPr>
        <w:t xml:space="preserve"> </w:t>
      </w:r>
      <w:r w:rsidR="007E0AF5" w:rsidRPr="00332D83">
        <w:rPr>
          <w:rFonts w:ascii="Times New Roman" w:hAnsi="Times New Roman" w:cs="Times New Roman"/>
          <w:sz w:val="24"/>
          <w:szCs w:val="24"/>
        </w:rPr>
        <w:t>dois terços</w:t>
      </w:r>
      <w:r w:rsidR="00D101F7" w:rsidRPr="00332D83">
        <w:rPr>
          <w:rFonts w:ascii="Times New Roman" w:hAnsi="Times New Roman" w:cs="Times New Roman"/>
          <w:sz w:val="24"/>
          <w:szCs w:val="24"/>
        </w:rPr>
        <w:t xml:space="preserve"> de todas as reservas </w:t>
      </w:r>
      <w:r w:rsidR="000031C7" w:rsidRPr="00332D83">
        <w:rPr>
          <w:rFonts w:ascii="Times New Roman" w:hAnsi="Times New Roman" w:cs="Times New Roman"/>
          <w:sz w:val="24"/>
          <w:szCs w:val="24"/>
        </w:rPr>
        <w:t xml:space="preserve">em ouro </w:t>
      </w:r>
      <w:r w:rsidR="00D101F7" w:rsidRPr="00332D83">
        <w:rPr>
          <w:rFonts w:ascii="Times New Roman" w:hAnsi="Times New Roman" w:cs="Times New Roman"/>
          <w:sz w:val="24"/>
          <w:szCs w:val="24"/>
        </w:rPr>
        <w:t xml:space="preserve">dos bancos centrais. </w:t>
      </w:r>
      <w:r w:rsidR="000031C7" w:rsidRPr="00332D83">
        <w:rPr>
          <w:rFonts w:ascii="Times New Roman" w:hAnsi="Times New Roman" w:cs="Times New Roman"/>
          <w:sz w:val="24"/>
          <w:szCs w:val="24"/>
        </w:rPr>
        <w:t xml:space="preserve">Esse volume era </w:t>
      </w:r>
      <w:r w:rsidR="007E0AF5" w:rsidRPr="00332D83">
        <w:rPr>
          <w:rFonts w:ascii="Times New Roman" w:hAnsi="Times New Roman" w:cs="Times New Roman"/>
          <w:sz w:val="24"/>
          <w:szCs w:val="24"/>
        </w:rPr>
        <w:t>muito mai</w:t>
      </w:r>
      <w:r w:rsidR="00EF49F4" w:rsidRPr="00332D83">
        <w:rPr>
          <w:rFonts w:ascii="Times New Roman" w:hAnsi="Times New Roman" w:cs="Times New Roman"/>
          <w:sz w:val="24"/>
          <w:szCs w:val="24"/>
        </w:rPr>
        <w:t>or</w:t>
      </w:r>
      <w:r w:rsidR="007E0AF5" w:rsidRPr="00332D83">
        <w:rPr>
          <w:rFonts w:ascii="Times New Roman" w:hAnsi="Times New Roman" w:cs="Times New Roman"/>
          <w:sz w:val="24"/>
          <w:szCs w:val="24"/>
        </w:rPr>
        <w:t xml:space="preserve"> do que o que </w:t>
      </w:r>
      <w:r w:rsidR="00EF49F4" w:rsidRPr="00332D83">
        <w:rPr>
          <w:rFonts w:ascii="Times New Roman" w:hAnsi="Times New Roman" w:cs="Times New Roman"/>
          <w:sz w:val="24"/>
          <w:szCs w:val="24"/>
        </w:rPr>
        <w:t xml:space="preserve">era necessário para o banco central </w:t>
      </w:r>
      <w:r w:rsidR="00C147E9" w:rsidRPr="00332D83">
        <w:rPr>
          <w:rFonts w:ascii="Times New Roman" w:hAnsi="Times New Roman" w:cs="Times New Roman"/>
          <w:sz w:val="24"/>
          <w:szCs w:val="24"/>
        </w:rPr>
        <w:t>americano garantir</w:t>
      </w:r>
      <w:r w:rsidR="007E0AF5" w:rsidRPr="00332D83">
        <w:rPr>
          <w:rFonts w:ascii="Times New Roman" w:hAnsi="Times New Roman" w:cs="Times New Roman"/>
          <w:sz w:val="24"/>
          <w:szCs w:val="24"/>
        </w:rPr>
        <w:t xml:space="preserve"> a liquidez internacional </w:t>
      </w:r>
      <w:r w:rsidR="00483306" w:rsidRPr="00332D83">
        <w:rPr>
          <w:rFonts w:ascii="Times New Roman" w:hAnsi="Times New Roman" w:cs="Times New Roman"/>
          <w:sz w:val="24"/>
          <w:szCs w:val="24"/>
        </w:rPr>
        <w:t xml:space="preserve">do dólar </w:t>
      </w:r>
      <w:r w:rsidR="007E0AF5" w:rsidRPr="00332D83">
        <w:rPr>
          <w:rFonts w:ascii="Times New Roman" w:hAnsi="Times New Roman" w:cs="Times New Roman"/>
          <w:sz w:val="24"/>
          <w:szCs w:val="24"/>
        </w:rPr>
        <w:t>(</w:t>
      </w:r>
      <w:r w:rsidR="00FB16E4" w:rsidRPr="00332D83">
        <w:rPr>
          <w:rFonts w:ascii="Times New Roman" w:hAnsi="Times New Roman" w:cs="Times New Roman"/>
          <w:sz w:val="24"/>
          <w:szCs w:val="24"/>
        </w:rPr>
        <w:t>AH</w:t>
      </w:r>
      <w:r w:rsidR="00E55B3B">
        <w:rPr>
          <w:rFonts w:ascii="Times New Roman" w:hAnsi="Times New Roman" w:cs="Times New Roman"/>
          <w:sz w:val="24"/>
          <w:szCs w:val="24"/>
        </w:rPr>
        <w:t>A</w:t>
      </w:r>
      <w:r w:rsidR="00FB16E4" w:rsidRPr="00332D83">
        <w:rPr>
          <w:rFonts w:ascii="Times New Roman" w:hAnsi="Times New Roman" w:cs="Times New Roman"/>
          <w:sz w:val="24"/>
          <w:szCs w:val="24"/>
        </w:rPr>
        <w:t>MED</w:t>
      </w:r>
      <w:r w:rsidR="007E0AF5" w:rsidRPr="00332D83">
        <w:rPr>
          <w:rFonts w:ascii="Times New Roman" w:hAnsi="Times New Roman" w:cs="Times New Roman"/>
          <w:sz w:val="24"/>
          <w:szCs w:val="24"/>
        </w:rPr>
        <w:t>, 2009).</w:t>
      </w:r>
    </w:p>
    <w:p w:rsidR="00FB16E4" w:rsidRDefault="007E0AF5" w:rsidP="00276F21">
      <w:pPr>
        <w:spacing w:line="240" w:lineRule="auto"/>
        <w:jc w:val="both"/>
        <w:rPr>
          <w:rFonts w:ascii="Times New Roman" w:hAnsi="Times New Roman" w:cs="Times New Roman"/>
          <w:sz w:val="24"/>
          <w:szCs w:val="24"/>
          <w:lang w:val="en-US"/>
        </w:rPr>
      </w:pPr>
      <w:r w:rsidRPr="00332D83">
        <w:rPr>
          <w:rFonts w:ascii="Times New Roman" w:hAnsi="Times New Roman" w:cs="Times New Roman"/>
          <w:sz w:val="24"/>
          <w:szCs w:val="24"/>
        </w:rPr>
        <w:t xml:space="preserve">Apesar dessa posição financeira pujante, os EUA </w:t>
      </w:r>
      <w:r w:rsidR="001F6154" w:rsidRPr="00332D83">
        <w:rPr>
          <w:rFonts w:ascii="Times New Roman" w:hAnsi="Times New Roman" w:cs="Times New Roman"/>
          <w:sz w:val="24"/>
          <w:szCs w:val="24"/>
        </w:rPr>
        <w:t>atuaram fortemente para que</w:t>
      </w:r>
      <w:r w:rsidR="00450345" w:rsidRPr="00332D83">
        <w:rPr>
          <w:rFonts w:ascii="Times New Roman" w:hAnsi="Times New Roman" w:cs="Times New Roman"/>
          <w:sz w:val="24"/>
          <w:szCs w:val="24"/>
        </w:rPr>
        <w:t xml:space="preserve"> </w:t>
      </w:r>
      <w:r w:rsidR="00055CB9" w:rsidRPr="00332D83">
        <w:rPr>
          <w:rFonts w:ascii="Times New Roman" w:hAnsi="Times New Roman" w:cs="Times New Roman"/>
          <w:sz w:val="24"/>
          <w:szCs w:val="24"/>
        </w:rPr>
        <w:t xml:space="preserve">a Inglaterra para que retornasse ao padrão-ouro o mais </w:t>
      </w:r>
      <w:r w:rsidR="001F6154" w:rsidRPr="00332D83">
        <w:rPr>
          <w:rFonts w:ascii="Times New Roman" w:hAnsi="Times New Roman" w:cs="Times New Roman"/>
          <w:sz w:val="24"/>
          <w:szCs w:val="24"/>
        </w:rPr>
        <w:t>rapidamente</w:t>
      </w:r>
      <w:r w:rsidR="00055CB9" w:rsidRPr="00332D83">
        <w:rPr>
          <w:rFonts w:ascii="Times New Roman" w:hAnsi="Times New Roman" w:cs="Times New Roman"/>
          <w:sz w:val="24"/>
          <w:szCs w:val="24"/>
        </w:rPr>
        <w:t xml:space="preserve"> possível.</w:t>
      </w:r>
      <w:r w:rsidR="00056FDD" w:rsidRPr="00332D83">
        <w:rPr>
          <w:rFonts w:ascii="Times New Roman" w:hAnsi="Times New Roman" w:cs="Times New Roman"/>
          <w:sz w:val="24"/>
          <w:szCs w:val="24"/>
        </w:rPr>
        <w:t xml:space="preserve"> </w:t>
      </w:r>
      <w:r w:rsidR="001F6154" w:rsidRPr="00332D83">
        <w:rPr>
          <w:rFonts w:ascii="Times New Roman" w:hAnsi="Times New Roman" w:cs="Times New Roman"/>
          <w:sz w:val="24"/>
          <w:szCs w:val="24"/>
        </w:rPr>
        <w:t xml:space="preserve">Operaram abertamente para que o papel de coordenação do sistema fosse mantido com o </w:t>
      </w:r>
      <w:proofErr w:type="spellStart"/>
      <w:r w:rsidR="001F6154" w:rsidRPr="00332D83">
        <w:rPr>
          <w:rFonts w:ascii="Times New Roman" w:hAnsi="Times New Roman" w:cs="Times New Roman"/>
          <w:sz w:val="24"/>
          <w:szCs w:val="24"/>
        </w:rPr>
        <w:t>BoE</w:t>
      </w:r>
      <w:proofErr w:type="spellEnd"/>
      <w:r w:rsidR="001F6154" w:rsidRPr="00332D83">
        <w:rPr>
          <w:rFonts w:ascii="Times New Roman" w:hAnsi="Times New Roman" w:cs="Times New Roman"/>
          <w:sz w:val="24"/>
          <w:szCs w:val="24"/>
        </w:rPr>
        <w:t xml:space="preserve"> e para que a moeda internacional dominante continuasse a ser a libra. </w:t>
      </w:r>
      <w:r w:rsidR="00FB16E4">
        <w:rPr>
          <w:rFonts w:ascii="Times New Roman" w:hAnsi="Times New Roman" w:cs="Times New Roman"/>
          <w:sz w:val="24"/>
          <w:szCs w:val="24"/>
          <w:lang w:val="en-US"/>
        </w:rPr>
        <w:t>Segundo Ahmed</w:t>
      </w:r>
      <w:r w:rsidR="008E19D9" w:rsidRPr="00332D83">
        <w:rPr>
          <w:rFonts w:ascii="Times New Roman" w:hAnsi="Times New Roman" w:cs="Times New Roman"/>
          <w:sz w:val="24"/>
          <w:szCs w:val="24"/>
          <w:lang w:val="en-US"/>
        </w:rPr>
        <w:t xml:space="preserve">, o </w:t>
      </w:r>
      <w:proofErr w:type="spellStart"/>
      <w:r w:rsidR="008E19D9" w:rsidRPr="00332D83">
        <w:rPr>
          <w:rFonts w:ascii="Times New Roman" w:hAnsi="Times New Roman" w:cs="Times New Roman"/>
          <w:sz w:val="24"/>
          <w:szCs w:val="24"/>
          <w:lang w:val="en-US"/>
        </w:rPr>
        <w:t>presidente</w:t>
      </w:r>
      <w:proofErr w:type="spellEnd"/>
      <w:r w:rsidR="008E19D9" w:rsidRPr="00332D83">
        <w:rPr>
          <w:rFonts w:ascii="Times New Roman" w:hAnsi="Times New Roman" w:cs="Times New Roman"/>
          <w:sz w:val="24"/>
          <w:szCs w:val="24"/>
          <w:lang w:val="en-US"/>
        </w:rPr>
        <w:t xml:space="preserve"> de </w:t>
      </w:r>
      <w:proofErr w:type="spellStart"/>
      <w:r w:rsidR="008E19D9" w:rsidRPr="00332D83">
        <w:rPr>
          <w:rFonts w:ascii="Times New Roman" w:hAnsi="Times New Roman" w:cs="Times New Roman"/>
          <w:sz w:val="24"/>
          <w:szCs w:val="24"/>
          <w:lang w:val="en-US"/>
        </w:rPr>
        <w:t>fato</w:t>
      </w:r>
      <w:proofErr w:type="spellEnd"/>
      <w:r w:rsidR="008E19D9" w:rsidRPr="00332D83">
        <w:rPr>
          <w:rFonts w:ascii="Times New Roman" w:hAnsi="Times New Roman" w:cs="Times New Roman"/>
          <w:sz w:val="24"/>
          <w:szCs w:val="24"/>
          <w:lang w:val="en-US"/>
        </w:rPr>
        <w:t xml:space="preserve"> do Federal Reserve à </w:t>
      </w:r>
      <w:proofErr w:type="spellStart"/>
      <w:r w:rsidR="008E19D9" w:rsidRPr="00332D83">
        <w:rPr>
          <w:rFonts w:ascii="Times New Roman" w:hAnsi="Times New Roman" w:cs="Times New Roman"/>
          <w:sz w:val="24"/>
          <w:szCs w:val="24"/>
          <w:lang w:val="en-US"/>
        </w:rPr>
        <w:t>época</w:t>
      </w:r>
      <w:proofErr w:type="spellEnd"/>
      <w:r w:rsidR="008E19D9" w:rsidRPr="00332D83">
        <w:rPr>
          <w:rFonts w:ascii="Times New Roman" w:hAnsi="Times New Roman" w:cs="Times New Roman"/>
          <w:sz w:val="24"/>
          <w:szCs w:val="24"/>
          <w:lang w:val="en-US"/>
        </w:rPr>
        <w:t xml:space="preserve">, </w:t>
      </w:r>
      <w:proofErr w:type="spellStart"/>
      <w:r w:rsidR="008E19D9" w:rsidRPr="00332D83">
        <w:rPr>
          <w:rFonts w:ascii="Times New Roman" w:hAnsi="Times New Roman" w:cs="Times New Roman"/>
          <w:sz w:val="24"/>
          <w:szCs w:val="24"/>
          <w:lang w:val="en-US"/>
        </w:rPr>
        <w:t>Benjamim</w:t>
      </w:r>
      <w:proofErr w:type="spellEnd"/>
      <w:r w:rsidR="008E19D9" w:rsidRPr="00332D83">
        <w:rPr>
          <w:rFonts w:ascii="Times New Roman" w:hAnsi="Times New Roman" w:cs="Times New Roman"/>
          <w:sz w:val="24"/>
          <w:szCs w:val="24"/>
          <w:lang w:val="en-US"/>
        </w:rPr>
        <w:t xml:space="preserve"> Strong</w:t>
      </w:r>
      <w:r w:rsidR="004021EA" w:rsidRPr="00332D83">
        <w:rPr>
          <w:rFonts w:ascii="Times New Roman" w:hAnsi="Times New Roman" w:cs="Times New Roman"/>
          <w:sz w:val="24"/>
          <w:szCs w:val="24"/>
          <w:lang w:val="en-US"/>
        </w:rPr>
        <w:t xml:space="preserve"> </w:t>
      </w:r>
      <w:r w:rsidR="008E19D9" w:rsidRPr="00332D83">
        <w:rPr>
          <w:rFonts w:ascii="Times New Roman" w:hAnsi="Times New Roman" w:cs="Times New Roman"/>
          <w:i/>
          <w:sz w:val="24"/>
          <w:szCs w:val="24"/>
          <w:lang w:val="en-US"/>
        </w:rPr>
        <w:t>“</w:t>
      </w:r>
      <w:r w:rsidR="004021EA" w:rsidRPr="00332D83">
        <w:rPr>
          <w:rFonts w:ascii="Times New Roman" w:hAnsi="Times New Roman" w:cs="Times New Roman"/>
          <w:i/>
          <w:sz w:val="24"/>
          <w:szCs w:val="24"/>
          <w:lang w:val="en-US"/>
        </w:rPr>
        <w:t>remained convinced that given the importance of the pound to world trade, a global return to the gold standard would only be possible if Britain took the lead: “The great problem is sterling, the others will come along easily if sterling could be dealt with,” he kept telling his colleagues</w:t>
      </w:r>
      <w:r w:rsidR="00450345" w:rsidRPr="00332D83">
        <w:rPr>
          <w:rFonts w:ascii="Times New Roman" w:hAnsi="Times New Roman" w:cs="Times New Roman"/>
          <w:i/>
          <w:sz w:val="24"/>
          <w:szCs w:val="24"/>
          <w:lang w:val="en-US"/>
        </w:rPr>
        <w:t>”</w:t>
      </w:r>
      <w:r w:rsidR="00FB16E4">
        <w:rPr>
          <w:rFonts w:ascii="Times New Roman" w:hAnsi="Times New Roman" w:cs="Times New Roman"/>
          <w:i/>
          <w:sz w:val="24"/>
          <w:szCs w:val="24"/>
          <w:lang w:val="en-US"/>
        </w:rPr>
        <w:t xml:space="preserve"> </w:t>
      </w:r>
      <w:r w:rsidR="00FB16E4" w:rsidRPr="00FB16E4">
        <w:rPr>
          <w:rFonts w:ascii="Times New Roman" w:hAnsi="Times New Roman" w:cs="Times New Roman"/>
          <w:sz w:val="24"/>
          <w:szCs w:val="24"/>
          <w:lang w:val="en-US"/>
        </w:rPr>
        <w:t>(AH</w:t>
      </w:r>
      <w:r w:rsidR="00215211">
        <w:rPr>
          <w:rFonts w:ascii="Times New Roman" w:hAnsi="Times New Roman" w:cs="Times New Roman"/>
          <w:sz w:val="24"/>
          <w:szCs w:val="24"/>
          <w:lang w:val="en-US"/>
        </w:rPr>
        <w:t>AMED, 2009:76</w:t>
      </w:r>
      <w:r w:rsidR="00FB16E4" w:rsidRPr="00FB16E4">
        <w:rPr>
          <w:rFonts w:ascii="Times New Roman" w:hAnsi="Times New Roman" w:cs="Times New Roman"/>
          <w:sz w:val="24"/>
          <w:szCs w:val="24"/>
          <w:lang w:val="en-US"/>
        </w:rPr>
        <w:t>)</w:t>
      </w:r>
      <w:r w:rsidR="00FB16E4">
        <w:rPr>
          <w:rFonts w:ascii="Times New Roman" w:hAnsi="Times New Roman" w:cs="Times New Roman"/>
          <w:sz w:val="24"/>
          <w:szCs w:val="24"/>
          <w:lang w:val="en-US"/>
        </w:rPr>
        <w:t>.</w:t>
      </w:r>
    </w:p>
    <w:p w:rsidR="004021EA" w:rsidRPr="00332D83" w:rsidRDefault="004021EA" w:rsidP="00276F21">
      <w:pPr>
        <w:spacing w:line="240" w:lineRule="auto"/>
        <w:jc w:val="both"/>
        <w:rPr>
          <w:rFonts w:ascii="Times New Roman" w:hAnsi="Times New Roman" w:cs="Times New Roman"/>
          <w:sz w:val="24"/>
          <w:szCs w:val="24"/>
        </w:rPr>
      </w:pPr>
      <w:r w:rsidRPr="00031560">
        <w:rPr>
          <w:rFonts w:ascii="Times New Roman" w:hAnsi="Times New Roman" w:cs="Times New Roman"/>
          <w:sz w:val="24"/>
          <w:szCs w:val="24"/>
          <w:lang w:val="en-US"/>
        </w:rPr>
        <w:t xml:space="preserve"> </w:t>
      </w:r>
      <w:r w:rsidRPr="00FB16E4">
        <w:rPr>
          <w:rFonts w:ascii="Times New Roman" w:hAnsi="Times New Roman" w:cs="Times New Roman"/>
          <w:sz w:val="24"/>
          <w:szCs w:val="24"/>
        </w:rPr>
        <w:t xml:space="preserve">Strong e os banqueiros </w:t>
      </w:r>
      <w:r w:rsidR="008E19D9" w:rsidRPr="00FB16E4">
        <w:rPr>
          <w:rFonts w:ascii="Times New Roman" w:hAnsi="Times New Roman" w:cs="Times New Roman"/>
          <w:sz w:val="24"/>
          <w:szCs w:val="24"/>
        </w:rPr>
        <w:t>do</w:t>
      </w:r>
      <w:r w:rsidRPr="00FB16E4">
        <w:rPr>
          <w:rFonts w:ascii="Times New Roman" w:hAnsi="Times New Roman" w:cs="Times New Roman"/>
          <w:sz w:val="24"/>
          <w:szCs w:val="24"/>
        </w:rPr>
        <w:t xml:space="preserve"> J.P Morgan</w:t>
      </w:r>
      <w:r w:rsidR="008E19D9" w:rsidRPr="00FB16E4">
        <w:rPr>
          <w:rFonts w:ascii="Times New Roman" w:hAnsi="Times New Roman" w:cs="Times New Roman"/>
          <w:sz w:val="24"/>
          <w:szCs w:val="24"/>
        </w:rPr>
        <w:t xml:space="preserve"> – principal </w:t>
      </w:r>
      <w:r w:rsidR="00031F13">
        <w:rPr>
          <w:rFonts w:ascii="Times New Roman" w:hAnsi="Times New Roman" w:cs="Times New Roman"/>
          <w:sz w:val="24"/>
          <w:szCs w:val="24"/>
        </w:rPr>
        <w:t xml:space="preserve">banco internacional americano − </w:t>
      </w:r>
      <w:r w:rsidRPr="00FB16E4">
        <w:rPr>
          <w:rFonts w:ascii="Times New Roman" w:hAnsi="Times New Roman" w:cs="Times New Roman"/>
          <w:sz w:val="24"/>
          <w:szCs w:val="24"/>
        </w:rPr>
        <w:t xml:space="preserve">teriam </w:t>
      </w:r>
      <w:r w:rsidR="00C51620" w:rsidRPr="00FB16E4">
        <w:rPr>
          <w:rFonts w:ascii="Times New Roman" w:hAnsi="Times New Roman" w:cs="Times New Roman"/>
          <w:sz w:val="24"/>
          <w:szCs w:val="24"/>
        </w:rPr>
        <w:t>inclusive oferecido em 1924</w:t>
      </w:r>
      <w:r w:rsidR="00667589" w:rsidRPr="00FB16E4">
        <w:rPr>
          <w:rFonts w:ascii="Times New Roman" w:hAnsi="Times New Roman" w:cs="Times New Roman"/>
          <w:sz w:val="24"/>
          <w:szCs w:val="24"/>
        </w:rPr>
        <w:t xml:space="preserve"> ao</w:t>
      </w:r>
      <w:r w:rsidRPr="00FB16E4">
        <w:rPr>
          <w:rFonts w:ascii="Times New Roman" w:hAnsi="Times New Roman" w:cs="Times New Roman"/>
          <w:sz w:val="24"/>
          <w:szCs w:val="24"/>
        </w:rPr>
        <w:t xml:space="preserve"> presidente do </w:t>
      </w:r>
      <w:proofErr w:type="spellStart"/>
      <w:r w:rsidRPr="00FB16E4">
        <w:rPr>
          <w:rFonts w:ascii="Times New Roman" w:hAnsi="Times New Roman" w:cs="Times New Roman"/>
          <w:sz w:val="24"/>
          <w:szCs w:val="24"/>
        </w:rPr>
        <w:t>BoE</w:t>
      </w:r>
      <w:proofErr w:type="spellEnd"/>
      <w:r w:rsidRPr="00FB16E4">
        <w:rPr>
          <w:rFonts w:ascii="Times New Roman" w:hAnsi="Times New Roman" w:cs="Times New Roman"/>
          <w:sz w:val="24"/>
          <w:szCs w:val="24"/>
        </w:rPr>
        <w:t xml:space="preserve">, Norman </w:t>
      </w:r>
      <w:proofErr w:type="spellStart"/>
      <w:r w:rsidRPr="00FB16E4">
        <w:rPr>
          <w:rFonts w:ascii="Times New Roman" w:hAnsi="Times New Roman" w:cs="Times New Roman"/>
          <w:sz w:val="24"/>
          <w:szCs w:val="24"/>
        </w:rPr>
        <w:t>Montagu</w:t>
      </w:r>
      <w:proofErr w:type="spellEnd"/>
      <w:r w:rsidRPr="00FB16E4">
        <w:rPr>
          <w:rFonts w:ascii="Times New Roman" w:hAnsi="Times New Roman" w:cs="Times New Roman"/>
          <w:sz w:val="24"/>
          <w:szCs w:val="24"/>
        </w:rPr>
        <w:t xml:space="preserve">, </w:t>
      </w:r>
      <w:r w:rsidR="00667589" w:rsidRPr="00FB16E4">
        <w:rPr>
          <w:rFonts w:ascii="Times New Roman" w:hAnsi="Times New Roman" w:cs="Times New Roman"/>
          <w:sz w:val="24"/>
          <w:szCs w:val="24"/>
        </w:rPr>
        <w:t xml:space="preserve">um empréstimo de US$ 200 milhões proveniente </w:t>
      </w:r>
      <w:r w:rsidRPr="00FB16E4">
        <w:rPr>
          <w:rFonts w:ascii="Times New Roman" w:hAnsi="Times New Roman" w:cs="Times New Roman"/>
          <w:sz w:val="24"/>
          <w:szCs w:val="24"/>
        </w:rPr>
        <w:t xml:space="preserve">do New York </w:t>
      </w:r>
      <w:proofErr w:type="spellStart"/>
      <w:r w:rsidRPr="00FB16E4">
        <w:rPr>
          <w:rFonts w:ascii="Times New Roman" w:hAnsi="Times New Roman" w:cs="Times New Roman"/>
          <w:sz w:val="24"/>
          <w:szCs w:val="24"/>
        </w:rPr>
        <w:t>Fed</w:t>
      </w:r>
      <w:proofErr w:type="spellEnd"/>
      <w:r w:rsidRPr="00FB16E4">
        <w:rPr>
          <w:rFonts w:ascii="Times New Roman" w:hAnsi="Times New Roman" w:cs="Times New Roman"/>
          <w:sz w:val="24"/>
          <w:szCs w:val="24"/>
        </w:rPr>
        <w:t xml:space="preserve">, mais uma promessa de US$ 300 milhões que viriam do J. P. Morgan. </w:t>
      </w:r>
      <w:r w:rsidR="00C51620" w:rsidRPr="00332D83">
        <w:rPr>
          <w:rFonts w:ascii="Times New Roman" w:hAnsi="Times New Roman" w:cs="Times New Roman"/>
          <w:sz w:val="24"/>
          <w:szCs w:val="24"/>
        </w:rPr>
        <w:t xml:space="preserve">O retorno da </w:t>
      </w:r>
      <w:r w:rsidRPr="00332D83">
        <w:rPr>
          <w:rFonts w:ascii="Times New Roman" w:hAnsi="Times New Roman" w:cs="Times New Roman"/>
          <w:sz w:val="24"/>
          <w:szCs w:val="24"/>
        </w:rPr>
        <w:t xml:space="preserve">libra </w:t>
      </w:r>
      <w:r w:rsidR="00C51620" w:rsidRPr="00332D83">
        <w:rPr>
          <w:rFonts w:ascii="Times New Roman" w:hAnsi="Times New Roman" w:cs="Times New Roman"/>
          <w:sz w:val="24"/>
          <w:szCs w:val="24"/>
        </w:rPr>
        <w:t xml:space="preserve">ao regime de </w:t>
      </w:r>
      <w:proofErr w:type="spellStart"/>
      <w:r w:rsidR="00C51620" w:rsidRPr="00332D83">
        <w:rPr>
          <w:rFonts w:ascii="Times New Roman" w:hAnsi="Times New Roman" w:cs="Times New Roman"/>
          <w:sz w:val="24"/>
          <w:szCs w:val="24"/>
        </w:rPr>
        <w:t>cambio</w:t>
      </w:r>
      <w:proofErr w:type="spellEnd"/>
      <w:r w:rsidR="00C51620" w:rsidRPr="00332D83">
        <w:rPr>
          <w:rFonts w:ascii="Times New Roman" w:hAnsi="Times New Roman" w:cs="Times New Roman"/>
          <w:sz w:val="24"/>
          <w:szCs w:val="24"/>
        </w:rPr>
        <w:t xml:space="preserve"> fixo do padrão ouro </w:t>
      </w:r>
      <w:r w:rsidRPr="00332D83">
        <w:rPr>
          <w:rFonts w:ascii="Times New Roman" w:hAnsi="Times New Roman" w:cs="Times New Roman"/>
          <w:sz w:val="24"/>
          <w:szCs w:val="24"/>
        </w:rPr>
        <w:t xml:space="preserve">mostrou-se, no entanto, um fardo demasiadamente pesado para a Inglaterra e foi </w:t>
      </w:r>
      <w:r w:rsidR="00C51620" w:rsidRPr="00332D83">
        <w:rPr>
          <w:rFonts w:ascii="Times New Roman" w:hAnsi="Times New Roman" w:cs="Times New Roman"/>
          <w:sz w:val="24"/>
          <w:szCs w:val="24"/>
        </w:rPr>
        <w:t xml:space="preserve">novamente </w:t>
      </w:r>
      <w:r w:rsidRPr="00332D83">
        <w:rPr>
          <w:rFonts w:ascii="Times New Roman" w:hAnsi="Times New Roman" w:cs="Times New Roman"/>
          <w:sz w:val="24"/>
          <w:szCs w:val="24"/>
        </w:rPr>
        <w:t xml:space="preserve">suspenso </w:t>
      </w:r>
      <w:r w:rsidR="00483306" w:rsidRPr="00332D83">
        <w:rPr>
          <w:rFonts w:ascii="Times New Roman" w:hAnsi="Times New Roman" w:cs="Times New Roman"/>
          <w:sz w:val="24"/>
          <w:szCs w:val="24"/>
        </w:rPr>
        <w:t xml:space="preserve">em </w:t>
      </w:r>
      <w:r w:rsidRPr="00332D83">
        <w:rPr>
          <w:rFonts w:ascii="Times New Roman" w:hAnsi="Times New Roman" w:cs="Times New Roman"/>
          <w:sz w:val="24"/>
          <w:szCs w:val="24"/>
        </w:rPr>
        <w:t>1931</w:t>
      </w:r>
      <w:r w:rsidR="00782480" w:rsidRPr="00332D83">
        <w:rPr>
          <w:rFonts w:ascii="Times New Roman" w:hAnsi="Times New Roman" w:cs="Times New Roman"/>
          <w:sz w:val="24"/>
          <w:szCs w:val="24"/>
        </w:rPr>
        <w:t>.</w:t>
      </w:r>
    </w:p>
    <w:p w:rsidR="009B7835" w:rsidRPr="00332D83" w:rsidRDefault="007C5303"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Na 2ª Guerra, </w:t>
      </w:r>
      <w:r w:rsidR="0065659B" w:rsidRPr="00332D83">
        <w:rPr>
          <w:rFonts w:ascii="Times New Roman" w:hAnsi="Times New Roman" w:cs="Times New Roman"/>
          <w:sz w:val="24"/>
          <w:szCs w:val="24"/>
        </w:rPr>
        <w:t xml:space="preserve">o </w:t>
      </w:r>
      <w:r w:rsidR="00DD0381" w:rsidRPr="00332D83">
        <w:rPr>
          <w:rFonts w:ascii="Times New Roman" w:hAnsi="Times New Roman" w:cs="Times New Roman"/>
          <w:sz w:val="24"/>
          <w:szCs w:val="24"/>
        </w:rPr>
        <w:t>financiamento</w:t>
      </w:r>
      <w:r w:rsidRPr="00332D83">
        <w:rPr>
          <w:rFonts w:ascii="Times New Roman" w:hAnsi="Times New Roman" w:cs="Times New Roman"/>
          <w:sz w:val="24"/>
          <w:szCs w:val="24"/>
        </w:rPr>
        <w:t xml:space="preserve"> </w:t>
      </w:r>
      <w:r w:rsidR="0065659B" w:rsidRPr="00332D83">
        <w:rPr>
          <w:rFonts w:ascii="Times New Roman" w:hAnsi="Times New Roman" w:cs="Times New Roman"/>
          <w:sz w:val="24"/>
          <w:szCs w:val="24"/>
        </w:rPr>
        <w:t>americano</w:t>
      </w:r>
      <w:r w:rsidR="00667589" w:rsidRPr="00332D83">
        <w:rPr>
          <w:rFonts w:ascii="Times New Roman" w:hAnsi="Times New Roman" w:cs="Times New Roman"/>
          <w:sz w:val="24"/>
          <w:szCs w:val="24"/>
        </w:rPr>
        <w:t xml:space="preserve"> aos britânicos </w:t>
      </w:r>
      <w:r w:rsidR="0065659B" w:rsidRPr="00332D83">
        <w:rPr>
          <w:rFonts w:ascii="Times New Roman" w:hAnsi="Times New Roman" w:cs="Times New Roman"/>
          <w:sz w:val="24"/>
          <w:szCs w:val="24"/>
        </w:rPr>
        <w:t xml:space="preserve">foi </w:t>
      </w:r>
      <w:r w:rsidR="00C51620" w:rsidRPr="00332D83">
        <w:rPr>
          <w:rFonts w:ascii="Times New Roman" w:hAnsi="Times New Roman" w:cs="Times New Roman"/>
          <w:sz w:val="24"/>
          <w:szCs w:val="24"/>
        </w:rPr>
        <w:t xml:space="preserve">realizado em bases distintas do conflito de 1914. </w:t>
      </w:r>
      <w:r w:rsidR="00E86716" w:rsidRPr="00332D83">
        <w:rPr>
          <w:rFonts w:ascii="Times New Roman" w:hAnsi="Times New Roman" w:cs="Times New Roman"/>
          <w:sz w:val="24"/>
          <w:szCs w:val="24"/>
        </w:rPr>
        <w:t>Até 1941, os britânicos usar</w:t>
      </w:r>
      <w:r w:rsidR="00C51620" w:rsidRPr="00332D83">
        <w:rPr>
          <w:rFonts w:ascii="Times New Roman" w:hAnsi="Times New Roman" w:cs="Times New Roman"/>
          <w:sz w:val="24"/>
          <w:szCs w:val="24"/>
        </w:rPr>
        <w:t>am</w:t>
      </w:r>
      <w:r w:rsidR="00E86716" w:rsidRPr="00332D83">
        <w:rPr>
          <w:rFonts w:ascii="Times New Roman" w:hAnsi="Times New Roman" w:cs="Times New Roman"/>
          <w:sz w:val="24"/>
          <w:szCs w:val="24"/>
        </w:rPr>
        <w:t xml:space="preserve"> suas reservas em ouro e </w:t>
      </w:r>
      <w:r w:rsidR="00C51620" w:rsidRPr="00332D83">
        <w:rPr>
          <w:rFonts w:ascii="Times New Roman" w:hAnsi="Times New Roman" w:cs="Times New Roman"/>
          <w:sz w:val="24"/>
          <w:szCs w:val="24"/>
        </w:rPr>
        <w:t xml:space="preserve">em </w:t>
      </w:r>
      <w:r w:rsidR="00E86716" w:rsidRPr="00332D83">
        <w:rPr>
          <w:rFonts w:ascii="Times New Roman" w:hAnsi="Times New Roman" w:cs="Times New Roman"/>
          <w:sz w:val="24"/>
          <w:szCs w:val="24"/>
        </w:rPr>
        <w:t>divisas para liquida</w:t>
      </w:r>
      <w:r w:rsidR="00C51620" w:rsidRPr="00332D83">
        <w:rPr>
          <w:rFonts w:ascii="Times New Roman" w:hAnsi="Times New Roman" w:cs="Times New Roman"/>
          <w:sz w:val="24"/>
          <w:szCs w:val="24"/>
        </w:rPr>
        <w:t>r</w:t>
      </w:r>
      <w:r w:rsidR="00E86716" w:rsidRPr="00332D83">
        <w:rPr>
          <w:rFonts w:ascii="Times New Roman" w:hAnsi="Times New Roman" w:cs="Times New Roman"/>
          <w:sz w:val="24"/>
          <w:szCs w:val="24"/>
        </w:rPr>
        <w:t xml:space="preserve"> </w:t>
      </w:r>
      <w:r w:rsidR="00C51620" w:rsidRPr="00332D83">
        <w:rPr>
          <w:rFonts w:ascii="Times New Roman" w:hAnsi="Times New Roman" w:cs="Times New Roman"/>
          <w:sz w:val="24"/>
          <w:szCs w:val="24"/>
        </w:rPr>
        <w:t xml:space="preserve">seus pagamentos </w:t>
      </w:r>
      <w:r w:rsidR="00E86716" w:rsidRPr="00332D83">
        <w:rPr>
          <w:rFonts w:ascii="Times New Roman" w:hAnsi="Times New Roman" w:cs="Times New Roman"/>
          <w:sz w:val="24"/>
          <w:szCs w:val="24"/>
        </w:rPr>
        <w:t xml:space="preserve">com os EUA. </w:t>
      </w:r>
      <w:r w:rsidR="00C51620" w:rsidRPr="00332D83">
        <w:rPr>
          <w:rFonts w:ascii="Times New Roman" w:hAnsi="Times New Roman" w:cs="Times New Roman"/>
          <w:sz w:val="24"/>
          <w:szCs w:val="24"/>
        </w:rPr>
        <w:t xml:space="preserve">Esse modelo chegou à exaustão em </w:t>
      </w:r>
      <w:r w:rsidR="00745EE5" w:rsidRPr="00332D83">
        <w:rPr>
          <w:rFonts w:ascii="Times New Roman" w:hAnsi="Times New Roman" w:cs="Times New Roman"/>
          <w:sz w:val="24"/>
          <w:szCs w:val="24"/>
        </w:rPr>
        <w:t>junho</w:t>
      </w:r>
      <w:r w:rsidR="00483306" w:rsidRPr="00332D83">
        <w:rPr>
          <w:rFonts w:ascii="Times New Roman" w:hAnsi="Times New Roman" w:cs="Times New Roman"/>
          <w:sz w:val="24"/>
          <w:szCs w:val="24"/>
        </w:rPr>
        <w:t xml:space="preserve"> daquele ano</w:t>
      </w:r>
      <w:r w:rsidR="00C51620" w:rsidRPr="00332D83">
        <w:rPr>
          <w:rFonts w:ascii="Times New Roman" w:hAnsi="Times New Roman" w:cs="Times New Roman"/>
          <w:sz w:val="24"/>
          <w:szCs w:val="24"/>
        </w:rPr>
        <w:t xml:space="preserve">. Naquela data, </w:t>
      </w:r>
      <w:r w:rsidR="00745EE5" w:rsidRPr="00332D83">
        <w:rPr>
          <w:rFonts w:ascii="Times New Roman" w:hAnsi="Times New Roman" w:cs="Times New Roman"/>
          <w:sz w:val="24"/>
          <w:szCs w:val="24"/>
        </w:rPr>
        <w:t xml:space="preserve">o </w:t>
      </w:r>
      <w:proofErr w:type="spellStart"/>
      <w:r w:rsidR="00745EE5" w:rsidRPr="00332D83">
        <w:rPr>
          <w:rFonts w:ascii="Times New Roman" w:hAnsi="Times New Roman" w:cs="Times New Roman"/>
          <w:sz w:val="24"/>
          <w:szCs w:val="24"/>
        </w:rPr>
        <w:t>BoE</w:t>
      </w:r>
      <w:proofErr w:type="spellEnd"/>
      <w:r w:rsidR="00745EE5" w:rsidRPr="00332D83">
        <w:rPr>
          <w:rFonts w:ascii="Times New Roman" w:hAnsi="Times New Roman" w:cs="Times New Roman"/>
          <w:sz w:val="24"/>
          <w:szCs w:val="24"/>
        </w:rPr>
        <w:t xml:space="preserve"> dispunha de apenas US$ 50 milhões em ouro e o Tesouro </w:t>
      </w:r>
      <w:r w:rsidR="00C51620" w:rsidRPr="00332D83">
        <w:rPr>
          <w:rFonts w:ascii="Times New Roman" w:hAnsi="Times New Roman" w:cs="Times New Roman"/>
          <w:sz w:val="24"/>
          <w:szCs w:val="24"/>
        </w:rPr>
        <w:t>inglês menos de US$ 100 milhões. Eram</w:t>
      </w:r>
      <w:r w:rsidR="00745EE5" w:rsidRPr="00332D83">
        <w:rPr>
          <w:rFonts w:ascii="Times New Roman" w:hAnsi="Times New Roman" w:cs="Times New Roman"/>
          <w:sz w:val="24"/>
          <w:szCs w:val="24"/>
        </w:rPr>
        <w:t xml:space="preserve"> valores muito</w:t>
      </w:r>
      <w:r w:rsidR="00C51620" w:rsidRPr="00332D83">
        <w:rPr>
          <w:rFonts w:ascii="Times New Roman" w:hAnsi="Times New Roman" w:cs="Times New Roman"/>
          <w:sz w:val="24"/>
          <w:szCs w:val="24"/>
        </w:rPr>
        <w:t xml:space="preserve"> baixos,</w:t>
      </w:r>
      <w:r w:rsidR="00745EE5" w:rsidRPr="00332D83">
        <w:rPr>
          <w:rFonts w:ascii="Times New Roman" w:hAnsi="Times New Roman" w:cs="Times New Roman"/>
          <w:sz w:val="24"/>
          <w:szCs w:val="24"/>
        </w:rPr>
        <w:t xml:space="preserve"> inferiores ao mínimo necessário para sustentar a libra e as necessidades</w:t>
      </w:r>
      <w:r w:rsidR="00C51620" w:rsidRPr="00332D83">
        <w:rPr>
          <w:rFonts w:ascii="Times New Roman" w:hAnsi="Times New Roman" w:cs="Times New Roman"/>
          <w:sz w:val="24"/>
          <w:szCs w:val="24"/>
        </w:rPr>
        <w:t xml:space="preserve"> </w:t>
      </w:r>
      <w:r w:rsidR="00745EE5" w:rsidRPr="00332D83">
        <w:rPr>
          <w:rFonts w:ascii="Times New Roman" w:hAnsi="Times New Roman" w:cs="Times New Roman"/>
          <w:sz w:val="24"/>
          <w:szCs w:val="24"/>
        </w:rPr>
        <w:t>dos países do Império. (</w:t>
      </w:r>
      <w:r w:rsidR="00215211" w:rsidRPr="00332D83">
        <w:rPr>
          <w:rFonts w:ascii="Times New Roman" w:hAnsi="Times New Roman" w:cs="Times New Roman"/>
          <w:sz w:val="24"/>
          <w:szCs w:val="24"/>
        </w:rPr>
        <w:t>WOOD</w:t>
      </w:r>
      <w:r w:rsidR="00215211">
        <w:rPr>
          <w:rFonts w:ascii="Times New Roman" w:hAnsi="Times New Roman" w:cs="Times New Roman"/>
          <w:sz w:val="24"/>
          <w:szCs w:val="24"/>
        </w:rPr>
        <w:t>S,</w:t>
      </w:r>
      <w:r w:rsidR="00745EE5" w:rsidRPr="00332D83">
        <w:rPr>
          <w:rFonts w:ascii="Times New Roman" w:hAnsi="Times New Roman" w:cs="Times New Roman"/>
          <w:sz w:val="24"/>
          <w:szCs w:val="24"/>
        </w:rPr>
        <w:t xml:space="preserve"> 1990)</w:t>
      </w:r>
      <w:r w:rsidR="009B7835" w:rsidRPr="00332D83">
        <w:rPr>
          <w:rFonts w:ascii="Times New Roman" w:hAnsi="Times New Roman" w:cs="Times New Roman"/>
          <w:sz w:val="24"/>
          <w:szCs w:val="24"/>
        </w:rPr>
        <w:t>.</w:t>
      </w:r>
    </w:p>
    <w:p w:rsidR="0038335C" w:rsidRPr="00332D83" w:rsidRDefault="00C51620"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Entre 1941 e 1945, foi criado um mecanismo de financiamento especial, o </w:t>
      </w:r>
      <w:proofErr w:type="spellStart"/>
      <w:r w:rsidRPr="00332D83">
        <w:rPr>
          <w:rFonts w:ascii="Times New Roman" w:hAnsi="Times New Roman" w:cs="Times New Roman"/>
          <w:i/>
          <w:sz w:val="24"/>
          <w:szCs w:val="24"/>
        </w:rPr>
        <w:t>lend</w:t>
      </w:r>
      <w:r w:rsidR="008E3CEC" w:rsidRPr="00332D83">
        <w:rPr>
          <w:rFonts w:ascii="Times New Roman" w:hAnsi="Times New Roman" w:cs="Times New Roman"/>
          <w:i/>
          <w:sz w:val="24"/>
          <w:szCs w:val="24"/>
        </w:rPr>
        <w:t>-</w:t>
      </w:r>
      <w:r w:rsidRPr="00332D83">
        <w:rPr>
          <w:rFonts w:ascii="Times New Roman" w:hAnsi="Times New Roman" w:cs="Times New Roman"/>
          <w:i/>
          <w:sz w:val="24"/>
          <w:szCs w:val="24"/>
        </w:rPr>
        <w:t>lease</w:t>
      </w:r>
      <w:proofErr w:type="spellEnd"/>
      <w:r w:rsidRPr="00332D83">
        <w:rPr>
          <w:rFonts w:ascii="Times New Roman" w:hAnsi="Times New Roman" w:cs="Times New Roman"/>
          <w:i/>
          <w:sz w:val="24"/>
          <w:szCs w:val="24"/>
        </w:rPr>
        <w:t xml:space="preserve">, </w:t>
      </w:r>
      <w:r w:rsidRPr="00332D83">
        <w:rPr>
          <w:rFonts w:ascii="Times New Roman" w:hAnsi="Times New Roman" w:cs="Times New Roman"/>
          <w:sz w:val="24"/>
          <w:szCs w:val="24"/>
        </w:rPr>
        <w:t>por meio do qual os americanos realizaram</w:t>
      </w:r>
      <w:r w:rsidR="008E3CEC" w:rsidRPr="00332D83">
        <w:rPr>
          <w:rFonts w:ascii="Times New Roman" w:hAnsi="Times New Roman" w:cs="Times New Roman"/>
          <w:sz w:val="24"/>
          <w:szCs w:val="24"/>
        </w:rPr>
        <w:t>, como parte do esforço de guerra,</w:t>
      </w:r>
      <w:r w:rsidRPr="00332D83">
        <w:rPr>
          <w:rFonts w:ascii="Times New Roman" w:hAnsi="Times New Roman" w:cs="Times New Roman"/>
          <w:sz w:val="24"/>
          <w:szCs w:val="24"/>
        </w:rPr>
        <w:t xml:space="preserve"> doações a seus aliados, inclusive a Inglaterra. Apesar de não</w:t>
      </w:r>
      <w:r w:rsidR="009B7835" w:rsidRPr="00332D83">
        <w:rPr>
          <w:rFonts w:ascii="Times New Roman" w:hAnsi="Times New Roman" w:cs="Times New Roman"/>
          <w:sz w:val="24"/>
          <w:szCs w:val="24"/>
        </w:rPr>
        <w:t xml:space="preserve"> envolve</w:t>
      </w:r>
      <w:r w:rsidRPr="00332D83">
        <w:rPr>
          <w:rFonts w:ascii="Times New Roman" w:hAnsi="Times New Roman" w:cs="Times New Roman"/>
          <w:sz w:val="24"/>
          <w:szCs w:val="24"/>
        </w:rPr>
        <w:t>r</w:t>
      </w:r>
      <w:r w:rsidR="009B7835" w:rsidRPr="00332D83">
        <w:rPr>
          <w:rFonts w:ascii="Times New Roman" w:hAnsi="Times New Roman" w:cs="Times New Roman"/>
          <w:sz w:val="24"/>
          <w:szCs w:val="24"/>
        </w:rPr>
        <w:t xml:space="preserve"> a geração de uma dívida bilateral a ser negociada</w:t>
      </w:r>
      <w:r w:rsidR="00D2282B" w:rsidRPr="00332D83">
        <w:rPr>
          <w:rFonts w:ascii="Times New Roman" w:hAnsi="Times New Roman" w:cs="Times New Roman"/>
          <w:sz w:val="24"/>
          <w:szCs w:val="24"/>
        </w:rPr>
        <w:t xml:space="preserve"> após o final do</w:t>
      </w:r>
      <w:r w:rsidR="00667589" w:rsidRPr="00332D83">
        <w:rPr>
          <w:rFonts w:ascii="Times New Roman" w:hAnsi="Times New Roman" w:cs="Times New Roman"/>
          <w:sz w:val="24"/>
          <w:szCs w:val="24"/>
        </w:rPr>
        <w:t xml:space="preserve"> conflito</w:t>
      </w:r>
      <w:r w:rsidR="00D2282B" w:rsidRPr="00332D83">
        <w:rPr>
          <w:rFonts w:ascii="Times New Roman" w:hAnsi="Times New Roman" w:cs="Times New Roman"/>
          <w:sz w:val="24"/>
          <w:szCs w:val="24"/>
        </w:rPr>
        <w:t>, como em</w:t>
      </w:r>
      <w:r w:rsidR="00483306" w:rsidRPr="00332D83">
        <w:rPr>
          <w:rFonts w:ascii="Times New Roman" w:hAnsi="Times New Roman" w:cs="Times New Roman"/>
          <w:sz w:val="24"/>
          <w:szCs w:val="24"/>
        </w:rPr>
        <w:t xml:space="preserve"> 1914</w:t>
      </w:r>
      <w:r w:rsidRPr="00332D83">
        <w:rPr>
          <w:rFonts w:ascii="Times New Roman" w:hAnsi="Times New Roman" w:cs="Times New Roman"/>
          <w:sz w:val="24"/>
          <w:szCs w:val="24"/>
        </w:rPr>
        <w:t>, os EUA exigi</w:t>
      </w:r>
      <w:r w:rsidR="00D2282B" w:rsidRPr="00332D83">
        <w:rPr>
          <w:rFonts w:ascii="Times New Roman" w:hAnsi="Times New Roman" w:cs="Times New Roman"/>
          <w:sz w:val="24"/>
          <w:szCs w:val="24"/>
        </w:rPr>
        <w:t>ram, em troca,</w:t>
      </w:r>
      <w:r w:rsidRPr="00332D83">
        <w:rPr>
          <w:rFonts w:ascii="Times New Roman" w:hAnsi="Times New Roman" w:cs="Times New Roman"/>
          <w:sz w:val="24"/>
          <w:szCs w:val="24"/>
        </w:rPr>
        <w:t xml:space="preserve"> compensações políticas</w:t>
      </w:r>
      <w:r w:rsidR="00D2282B" w:rsidRPr="00332D83">
        <w:rPr>
          <w:rFonts w:ascii="Times New Roman" w:hAnsi="Times New Roman" w:cs="Times New Roman"/>
          <w:sz w:val="24"/>
          <w:szCs w:val="24"/>
        </w:rPr>
        <w:t xml:space="preserve">. O compromisso mais importante </w:t>
      </w:r>
      <w:r w:rsidR="008E3CEC" w:rsidRPr="00332D83">
        <w:rPr>
          <w:rFonts w:ascii="Times New Roman" w:hAnsi="Times New Roman" w:cs="Times New Roman"/>
          <w:sz w:val="24"/>
          <w:szCs w:val="24"/>
        </w:rPr>
        <w:t xml:space="preserve">dos ingleses </w:t>
      </w:r>
      <w:r w:rsidR="00D2282B" w:rsidRPr="00332D83">
        <w:rPr>
          <w:rFonts w:ascii="Times New Roman" w:hAnsi="Times New Roman" w:cs="Times New Roman"/>
          <w:sz w:val="24"/>
          <w:szCs w:val="24"/>
        </w:rPr>
        <w:t>era a eliminação, ao final o conflito, da</w:t>
      </w:r>
      <w:r w:rsidR="009B7835" w:rsidRPr="00332D83">
        <w:rPr>
          <w:rFonts w:ascii="Times New Roman" w:hAnsi="Times New Roman" w:cs="Times New Roman"/>
          <w:sz w:val="24"/>
          <w:szCs w:val="24"/>
        </w:rPr>
        <w:t xml:space="preserve">s preferências imperiais e do bloco da libra, criado em 1931. Esse princípio foi consagrado no Artigo VII do </w:t>
      </w:r>
      <w:proofErr w:type="spellStart"/>
      <w:r w:rsidR="009B7835" w:rsidRPr="00332D83">
        <w:rPr>
          <w:rFonts w:ascii="Times New Roman" w:hAnsi="Times New Roman" w:cs="Times New Roman"/>
          <w:i/>
          <w:sz w:val="24"/>
          <w:szCs w:val="24"/>
        </w:rPr>
        <w:t>Anglo-American</w:t>
      </w:r>
      <w:proofErr w:type="spellEnd"/>
      <w:r w:rsidR="009B7835" w:rsidRPr="00332D83">
        <w:rPr>
          <w:rFonts w:ascii="Times New Roman" w:hAnsi="Times New Roman" w:cs="Times New Roman"/>
          <w:i/>
          <w:sz w:val="24"/>
          <w:szCs w:val="24"/>
        </w:rPr>
        <w:t xml:space="preserve"> Mutual </w:t>
      </w:r>
      <w:proofErr w:type="spellStart"/>
      <w:r w:rsidR="009B7835" w:rsidRPr="00332D83">
        <w:rPr>
          <w:rFonts w:ascii="Times New Roman" w:hAnsi="Times New Roman" w:cs="Times New Roman"/>
          <w:i/>
          <w:sz w:val="24"/>
          <w:szCs w:val="24"/>
        </w:rPr>
        <w:t>Aid</w:t>
      </w:r>
      <w:proofErr w:type="spellEnd"/>
      <w:r w:rsidR="009B7835" w:rsidRPr="00332D83">
        <w:rPr>
          <w:rFonts w:ascii="Times New Roman" w:hAnsi="Times New Roman" w:cs="Times New Roman"/>
          <w:i/>
          <w:sz w:val="24"/>
          <w:szCs w:val="24"/>
        </w:rPr>
        <w:t xml:space="preserve"> </w:t>
      </w:r>
      <w:proofErr w:type="spellStart"/>
      <w:r w:rsidR="009B7835" w:rsidRPr="00332D83">
        <w:rPr>
          <w:rFonts w:ascii="Times New Roman" w:hAnsi="Times New Roman" w:cs="Times New Roman"/>
          <w:i/>
          <w:sz w:val="24"/>
          <w:szCs w:val="24"/>
        </w:rPr>
        <w:t>Agreement</w:t>
      </w:r>
      <w:proofErr w:type="spellEnd"/>
      <w:r w:rsidR="00667589" w:rsidRPr="00332D83">
        <w:rPr>
          <w:rFonts w:ascii="Times New Roman" w:hAnsi="Times New Roman" w:cs="Times New Roman"/>
          <w:sz w:val="24"/>
          <w:szCs w:val="24"/>
        </w:rPr>
        <w:t xml:space="preserve">, </w:t>
      </w:r>
      <w:r w:rsidR="009B7835" w:rsidRPr="00332D83">
        <w:rPr>
          <w:rFonts w:ascii="Times New Roman" w:hAnsi="Times New Roman" w:cs="Times New Roman"/>
          <w:sz w:val="24"/>
          <w:szCs w:val="24"/>
        </w:rPr>
        <w:t>de fevereiro de 1942</w:t>
      </w:r>
      <w:r w:rsidR="00667589" w:rsidRPr="00332D83">
        <w:rPr>
          <w:rFonts w:ascii="Times New Roman" w:hAnsi="Times New Roman" w:cs="Times New Roman"/>
          <w:sz w:val="24"/>
          <w:szCs w:val="24"/>
        </w:rPr>
        <w:t>, em que se lia</w:t>
      </w:r>
      <w:r w:rsidR="009B7835" w:rsidRPr="00332D83">
        <w:rPr>
          <w:rFonts w:ascii="Times New Roman" w:hAnsi="Times New Roman" w:cs="Times New Roman"/>
          <w:sz w:val="24"/>
          <w:szCs w:val="24"/>
        </w:rPr>
        <w:t>:</w:t>
      </w:r>
    </w:p>
    <w:p w:rsidR="0038335C" w:rsidRPr="00332D83" w:rsidRDefault="0038335C" w:rsidP="00276F21">
      <w:pPr>
        <w:pStyle w:val="PargrafodaLista"/>
        <w:spacing w:line="240" w:lineRule="auto"/>
        <w:ind w:left="567"/>
        <w:jc w:val="both"/>
        <w:rPr>
          <w:rFonts w:ascii="Times New Roman" w:hAnsi="Times New Roman" w:cs="Times New Roman"/>
          <w:sz w:val="24"/>
          <w:szCs w:val="24"/>
          <w:lang w:val="en-US"/>
        </w:rPr>
      </w:pPr>
      <w:r w:rsidRPr="00332D83">
        <w:rPr>
          <w:rFonts w:ascii="Times New Roman" w:hAnsi="Times New Roman" w:cs="Times New Roman"/>
          <w:sz w:val="24"/>
          <w:szCs w:val="24"/>
          <w:lang w:val="en-US"/>
        </w:rPr>
        <w:t>“</w:t>
      </w:r>
      <w:r w:rsidRPr="00332D83">
        <w:rPr>
          <w:rFonts w:ascii="Times New Roman" w:hAnsi="Times New Roman" w:cs="Times New Roman"/>
          <w:i/>
          <w:sz w:val="24"/>
          <w:szCs w:val="24"/>
          <w:lang w:val="en-US"/>
        </w:rPr>
        <w:t xml:space="preserve">In the final determination of the benefits to be provided to the United States of America by the Government of the United Kingdom in return for aid furnished under the Act of Congress of March 11, 1941, the terms and conditions thereof shall be such as not to burden commerce between the two countries, but to promote mutually advantageous economic relations between them and the betterment of world-wide economic relations. To that end, they shall include provision for agreed action by the United States of America and the United Kingdom, open to </w:t>
      </w:r>
      <w:r w:rsidRPr="00332D83">
        <w:rPr>
          <w:rFonts w:ascii="Times New Roman" w:hAnsi="Times New Roman" w:cs="Times New Roman"/>
          <w:i/>
          <w:sz w:val="24"/>
          <w:szCs w:val="24"/>
          <w:lang w:val="en-US"/>
        </w:rPr>
        <w:lastRenderedPageBreak/>
        <w:t xml:space="preserve">participation by all other countries of like mind, directed to the expansion, by appropriate international and domestic measures, of production, employment, and the exchange and consumption of goods, which are the material foundations of the liberty and welfare of all peoples; </w:t>
      </w:r>
      <w:r w:rsidRPr="00332D83">
        <w:rPr>
          <w:rFonts w:ascii="Times New Roman" w:hAnsi="Times New Roman" w:cs="Times New Roman"/>
          <w:i/>
          <w:sz w:val="24"/>
          <w:szCs w:val="24"/>
          <w:u w:val="single"/>
          <w:lang w:val="en-US"/>
        </w:rPr>
        <w:t>to the elimination of all forms of discriminatory treatment in international commerce, and to the reduction of tariffs and other trade barriers</w:t>
      </w:r>
      <w:r w:rsidR="00C13A6E" w:rsidRPr="00332D83">
        <w:rPr>
          <w:rFonts w:ascii="Times New Roman" w:hAnsi="Times New Roman" w:cs="Times New Roman"/>
          <w:i/>
          <w:sz w:val="24"/>
          <w:szCs w:val="24"/>
          <w:u w:val="single"/>
          <w:lang w:val="en-US"/>
        </w:rPr>
        <w:t xml:space="preserve"> </w:t>
      </w:r>
      <w:r w:rsidRPr="00332D83">
        <w:rPr>
          <w:rFonts w:ascii="Times New Roman" w:hAnsi="Times New Roman" w:cs="Times New Roman"/>
          <w:i/>
          <w:sz w:val="24"/>
          <w:szCs w:val="24"/>
          <w:u w:val="single"/>
          <w:lang w:val="en-US"/>
        </w:rPr>
        <w:t>(</w:t>
      </w:r>
      <w:r w:rsidRPr="00332D83">
        <w:rPr>
          <w:rFonts w:ascii="Times New Roman" w:hAnsi="Times New Roman" w:cs="Times New Roman"/>
          <w:i/>
          <w:sz w:val="24"/>
          <w:szCs w:val="24"/>
          <w:lang w:val="en-US"/>
        </w:rPr>
        <w:t>...)”</w:t>
      </w:r>
      <w:r w:rsidRPr="00332D83">
        <w:rPr>
          <w:rFonts w:ascii="Times New Roman" w:hAnsi="Times New Roman" w:cs="Times New Roman"/>
          <w:sz w:val="24"/>
          <w:szCs w:val="24"/>
          <w:lang w:val="en-US"/>
        </w:rPr>
        <w:t>(</w:t>
      </w:r>
      <w:proofErr w:type="spellStart"/>
      <w:r w:rsidRPr="00332D83">
        <w:rPr>
          <w:rFonts w:ascii="Times New Roman" w:hAnsi="Times New Roman" w:cs="Times New Roman"/>
          <w:sz w:val="24"/>
          <w:szCs w:val="24"/>
          <w:lang w:val="en-US"/>
        </w:rPr>
        <w:t>grifo</w:t>
      </w:r>
      <w:proofErr w:type="spellEnd"/>
      <w:r w:rsidRPr="00332D83">
        <w:rPr>
          <w:rFonts w:ascii="Times New Roman" w:hAnsi="Times New Roman" w:cs="Times New Roman"/>
          <w:sz w:val="24"/>
          <w:szCs w:val="24"/>
          <w:lang w:val="en-US"/>
        </w:rPr>
        <w:t xml:space="preserve"> </w:t>
      </w:r>
      <w:proofErr w:type="spellStart"/>
      <w:r w:rsidRPr="00332D83">
        <w:rPr>
          <w:rFonts w:ascii="Times New Roman" w:hAnsi="Times New Roman" w:cs="Times New Roman"/>
          <w:sz w:val="24"/>
          <w:szCs w:val="24"/>
          <w:lang w:val="en-US"/>
        </w:rPr>
        <w:t>nosso</w:t>
      </w:r>
      <w:proofErr w:type="spellEnd"/>
      <w:r w:rsidRPr="00332D83">
        <w:rPr>
          <w:rFonts w:ascii="Times New Roman" w:hAnsi="Times New Roman" w:cs="Times New Roman"/>
          <w:sz w:val="24"/>
          <w:szCs w:val="24"/>
          <w:lang w:val="en-US"/>
        </w:rPr>
        <w:t>)</w:t>
      </w:r>
      <w:r w:rsidR="00450345" w:rsidRPr="00332D83">
        <w:rPr>
          <w:rFonts w:ascii="Times New Roman" w:hAnsi="Times New Roman" w:cs="Times New Roman"/>
          <w:sz w:val="24"/>
          <w:szCs w:val="24"/>
          <w:lang w:val="en-US"/>
        </w:rPr>
        <w:t>.</w:t>
      </w:r>
    </w:p>
    <w:p w:rsidR="0038335C" w:rsidRPr="00332D83" w:rsidRDefault="008E3CEC"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A questão</w:t>
      </w:r>
      <w:r w:rsidR="0038335C" w:rsidRPr="00332D83">
        <w:rPr>
          <w:rFonts w:ascii="Times New Roman" w:hAnsi="Times New Roman" w:cs="Times New Roman"/>
          <w:sz w:val="24"/>
          <w:szCs w:val="24"/>
        </w:rPr>
        <w:t xml:space="preserve"> </w:t>
      </w:r>
      <w:r w:rsidR="00450345" w:rsidRPr="00332D83">
        <w:rPr>
          <w:rFonts w:ascii="Times New Roman" w:hAnsi="Times New Roman" w:cs="Times New Roman"/>
          <w:sz w:val="24"/>
          <w:szCs w:val="24"/>
        </w:rPr>
        <w:t xml:space="preserve">da ruptura definitiva do bloco da libra </w:t>
      </w:r>
      <w:r w:rsidR="00483306" w:rsidRPr="00332D83">
        <w:rPr>
          <w:rFonts w:ascii="Times New Roman" w:hAnsi="Times New Roman" w:cs="Times New Roman"/>
          <w:sz w:val="24"/>
          <w:szCs w:val="24"/>
        </w:rPr>
        <w:t>havia sido introduzid</w:t>
      </w:r>
      <w:r w:rsidRPr="00332D83">
        <w:rPr>
          <w:rFonts w:ascii="Times New Roman" w:hAnsi="Times New Roman" w:cs="Times New Roman"/>
          <w:sz w:val="24"/>
          <w:szCs w:val="24"/>
        </w:rPr>
        <w:t>a</w:t>
      </w:r>
      <w:r w:rsidR="00F61DD9">
        <w:rPr>
          <w:rFonts w:ascii="Times New Roman" w:hAnsi="Times New Roman" w:cs="Times New Roman"/>
          <w:sz w:val="24"/>
          <w:szCs w:val="24"/>
        </w:rPr>
        <w:t xml:space="preserve"> pelos americanos</w:t>
      </w:r>
      <w:r w:rsidR="00483306" w:rsidRPr="00332D83">
        <w:rPr>
          <w:rFonts w:ascii="Times New Roman" w:hAnsi="Times New Roman" w:cs="Times New Roman"/>
          <w:sz w:val="24"/>
          <w:szCs w:val="24"/>
        </w:rPr>
        <w:t xml:space="preserve"> nas negociações </w:t>
      </w:r>
      <w:proofErr w:type="gramStart"/>
      <w:r w:rsidR="00483306" w:rsidRPr="00332D83">
        <w:rPr>
          <w:rFonts w:ascii="Times New Roman" w:hAnsi="Times New Roman" w:cs="Times New Roman"/>
          <w:sz w:val="24"/>
          <w:szCs w:val="24"/>
        </w:rPr>
        <w:t xml:space="preserve">bilaterais </w:t>
      </w:r>
      <w:r w:rsidR="0038335C" w:rsidRPr="00332D83">
        <w:rPr>
          <w:rFonts w:ascii="Times New Roman" w:hAnsi="Times New Roman" w:cs="Times New Roman"/>
          <w:sz w:val="24"/>
          <w:szCs w:val="24"/>
        </w:rPr>
        <w:t xml:space="preserve"> </w:t>
      </w:r>
      <w:r w:rsidR="00667589" w:rsidRPr="00332D83">
        <w:rPr>
          <w:rFonts w:ascii="Times New Roman" w:hAnsi="Times New Roman" w:cs="Times New Roman"/>
          <w:sz w:val="24"/>
          <w:szCs w:val="24"/>
        </w:rPr>
        <w:t>no</w:t>
      </w:r>
      <w:proofErr w:type="gramEnd"/>
      <w:r w:rsidR="00667589" w:rsidRPr="00332D83">
        <w:rPr>
          <w:rFonts w:ascii="Times New Roman" w:hAnsi="Times New Roman" w:cs="Times New Roman"/>
          <w:sz w:val="24"/>
          <w:szCs w:val="24"/>
        </w:rPr>
        <w:t xml:space="preserve"> ano anterior</w:t>
      </w:r>
      <w:r w:rsidRPr="00332D83">
        <w:rPr>
          <w:rFonts w:ascii="Times New Roman" w:hAnsi="Times New Roman" w:cs="Times New Roman"/>
          <w:sz w:val="24"/>
          <w:szCs w:val="24"/>
        </w:rPr>
        <w:t xml:space="preserve">, </w:t>
      </w:r>
      <w:r w:rsidR="00031F13">
        <w:rPr>
          <w:rFonts w:ascii="Times New Roman" w:hAnsi="Times New Roman" w:cs="Times New Roman"/>
          <w:sz w:val="24"/>
          <w:szCs w:val="24"/>
        </w:rPr>
        <w:t>durante a</w:t>
      </w:r>
      <w:r w:rsidRPr="00332D83">
        <w:rPr>
          <w:rFonts w:ascii="Times New Roman" w:hAnsi="Times New Roman" w:cs="Times New Roman"/>
          <w:sz w:val="24"/>
          <w:szCs w:val="24"/>
        </w:rPr>
        <w:t xml:space="preserve"> elaboração da Carta do Atlântico</w:t>
      </w:r>
      <w:r w:rsidR="00667589" w:rsidRPr="00332D83">
        <w:rPr>
          <w:rFonts w:ascii="Times New Roman" w:hAnsi="Times New Roman" w:cs="Times New Roman"/>
          <w:sz w:val="24"/>
          <w:szCs w:val="24"/>
        </w:rPr>
        <w:t xml:space="preserve">. </w:t>
      </w:r>
      <w:r w:rsidRPr="00332D83">
        <w:rPr>
          <w:rFonts w:ascii="Times New Roman" w:hAnsi="Times New Roman" w:cs="Times New Roman"/>
          <w:sz w:val="24"/>
          <w:szCs w:val="24"/>
        </w:rPr>
        <w:t>O tema era controverso já que a</w:t>
      </w:r>
      <w:r w:rsidR="00667589" w:rsidRPr="00332D83">
        <w:rPr>
          <w:rFonts w:ascii="Times New Roman" w:hAnsi="Times New Roman" w:cs="Times New Roman"/>
          <w:sz w:val="24"/>
          <w:szCs w:val="24"/>
        </w:rPr>
        <w:t>mbos os lados</w:t>
      </w:r>
      <w:r w:rsidR="0038335C" w:rsidRPr="00332D83">
        <w:rPr>
          <w:rFonts w:ascii="Times New Roman" w:hAnsi="Times New Roman" w:cs="Times New Roman"/>
          <w:sz w:val="24"/>
          <w:szCs w:val="24"/>
        </w:rPr>
        <w:t xml:space="preserve"> tinham clareza que a sujeição da Inglaterra a um multilateralismo imediato seria incompa</w:t>
      </w:r>
      <w:r w:rsidR="00F23E1F">
        <w:rPr>
          <w:rFonts w:ascii="Times New Roman" w:hAnsi="Times New Roman" w:cs="Times New Roman"/>
          <w:sz w:val="24"/>
          <w:szCs w:val="24"/>
        </w:rPr>
        <w:t>tível com as condições</w:t>
      </w:r>
      <w:r w:rsidR="0038335C" w:rsidRPr="00332D83">
        <w:rPr>
          <w:rFonts w:ascii="Times New Roman" w:hAnsi="Times New Roman" w:cs="Times New Roman"/>
          <w:sz w:val="24"/>
          <w:szCs w:val="24"/>
        </w:rPr>
        <w:t xml:space="preserve"> de financiamento da balança de pagamentos inglesa</w:t>
      </w:r>
      <w:r w:rsidR="00483306" w:rsidRPr="00332D83">
        <w:rPr>
          <w:rFonts w:ascii="Times New Roman" w:hAnsi="Times New Roman" w:cs="Times New Roman"/>
          <w:sz w:val="24"/>
          <w:szCs w:val="24"/>
        </w:rPr>
        <w:t xml:space="preserve"> ao fim do conflito</w:t>
      </w:r>
      <w:r w:rsidR="0038335C" w:rsidRPr="00332D83">
        <w:rPr>
          <w:rFonts w:ascii="Times New Roman" w:hAnsi="Times New Roman" w:cs="Times New Roman"/>
          <w:sz w:val="24"/>
          <w:szCs w:val="24"/>
        </w:rPr>
        <w:t>.</w:t>
      </w:r>
    </w:p>
    <w:p w:rsidR="0038335C" w:rsidRPr="00332D83" w:rsidRDefault="0038335C"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Para </w:t>
      </w:r>
      <w:r w:rsidR="00B72930" w:rsidRPr="00332D83">
        <w:rPr>
          <w:rFonts w:ascii="Times New Roman" w:hAnsi="Times New Roman" w:cs="Times New Roman"/>
          <w:sz w:val="24"/>
          <w:szCs w:val="24"/>
        </w:rPr>
        <w:t>reduzir o poder de resistência d</w:t>
      </w:r>
      <w:r w:rsidRPr="00332D83">
        <w:rPr>
          <w:rFonts w:ascii="Times New Roman" w:hAnsi="Times New Roman" w:cs="Times New Roman"/>
          <w:sz w:val="24"/>
          <w:szCs w:val="24"/>
        </w:rPr>
        <w:t xml:space="preserve">os ingleses, o governo dos EUA </w:t>
      </w:r>
      <w:r w:rsidR="00B72930" w:rsidRPr="00332D83">
        <w:rPr>
          <w:rFonts w:ascii="Times New Roman" w:hAnsi="Times New Roman" w:cs="Times New Roman"/>
          <w:sz w:val="24"/>
          <w:szCs w:val="24"/>
        </w:rPr>
        <w:t xml:space="preserve">contingenciou seus financiamentos à Inglaterra </w:t>
      </w:r>
      <w:r w:rsidR="00483306" w:rsidRPr="00332D83">
        <w:rPr>
          <w:rFonts w:ascii="Times New Roman" w:hAnsi="Times New Roman" w:cs="Times New Roman"/>
          <w:sz w:val="24"/>
          <w:szCs w:val="24"/>
        </w:rPr>
        <w:t>ao longo da guerra</w:t>
      </w:r>
      <w:r w:rsidR="00450345" w:rsidRPr="00332D83">
        <w:rPr>
          <w:rFonts w:ascii="Times New Roman" w:hAnsi="Times New Roman" w:cs="Times New Roman"/>
          <w:sz w:val="24"/>
          <w:szCs w:val="24"/>
        </w:rPr>
        <w:t xml:space="preserve"> </w:t>
      </w:r>
      <w:r w:rsidR="00B72930" w:rsidRPr="00332D83">
        <w:rPr>
          <w:rFonts w:ascii="Times New Roman" w:hAnsi="Times New Roman" w:cs="Times New Roman"/>
          <w:sz w:val="24"/>
          <w:szCs w:val="24"/>
        </w:rPr>
        <w:t>de mod</w:t>
      </w:r>
      <w:r w:rsidR="00701C8D" w:rsidRPr="00332D83">
        <w:rPr>
          <w:rFonts w:ascii="Times New Roman" w:hAnsi="Times New Roman" w:cs="Times New Roman"/>
          <w:sz w:val="24"/>
          <w:szCs w:val="24"/>
        </w:rPr>
        <w:t xml:space="preserve">o a evitar que o aliado </w:t>
      </w:r>
      <w:r w:rsidR="00B72930" w:rsidRPr="00332D83">
        <w:rPr>
          <w:rFonts w:ascii="Times New Roman" w:hAnsi="Times New Roman" w:cs="Times New Roman"/>
          <w:sz w:val="24"/>
          <w:szCs w:val="24"/>
        </w:rPr>
        <w:t>acumula</w:t>
      </w:r>
      <w:r w:rsidR="00701C8D" w:rsidRPr="00332D83">
        <w:rPr>
          <w:rFonts w:ascii="Times New Roman" w:hAnsi="Times New Roman" w:cs="Times New Roman"/>
          <w:sz w:val="24"/>
          <w:szCs w:val="24"/>
        </w:rPr>
        <w:t>sse</w:t>
      </w:r>
      <w:r w:rsidR="00B72930" w:rsidRPr="00332D83">
        <w:rPr>
          <w:rFonts w:ascii="Times New Roman" w:hAnsi="Times New Roman" w:cs="Times New Roman"/>
          <w:sz w:val="24"/>
          <w:szCs w:val="24"/>
        </w:rPr>
        <w:t xml:space="preserve"> um saldo em dólar</w:t>
      </w:r>
      <w:r w:rsidR="00450345" w:rsidRPr="00332D83">
        <w:rPr>
          <w:rFonts w:ascii="Times New Roman" w:hAnsi="Times New Roman" w:cs="Times New Roman"/>
          <w:sz w:val="24"/>
          <w:szCs w:val="24"/>
        </w:rPr>
        <w:t>es</w:t>
      </w:r>
      <w:r w:rsidR="00B72930" w:rsidRPr="00332D83">
        <w:rPr>
          <w:rFonts w:ascii="Times New Roman" w:hAnsi="Times New Roman" w:cs="Times New Roman"/>
          <w:sz w:val="24"/>
          <w:szCs w:val="24"/>
        </w:rPr>
        <w:t xml:space="preserve"> superior a </w:t>
      </w:r>
      <w:r w:rsidRPr="00332D83">
        <w:rPr>
          <w:rFonts w:ascii="Times New Roman" w:hAnsi="Times New Roman" w:cs="Times New Roman"/>
          <w:sz w:val="24"/>
          <w:szCs w:val="24"/>
        </w:rPr>
        <w:t xml:space="preserve">US$ 1 bilhão. Sempre que esse valor era superado, os recursos para importações de natureza civil eram reduzidos. Esse </w:t>
      </w:r>
      <w:r w:rsidR="00B72930" w:rsidRPr="00332D83">
        <w:rPr>
          <w:rFonts w:ascii="Times New Roman" w:hAnsi="Times New Roman" w:cs="Times New Roman"/>
          <w:sz w:val="24"/>
          <w:szCs w:val="24"/>
        </w:rPr>
        <w:t xml:space="preserve">tipo de controle </w:t>
      </w:r>
      <w:r w:rsidRPr="00332D83">
        <w:rPr>
          <w:rFonts w:ascii="Times New Roman" w:hAnsi="Times New Roman" w:cs="Times New Roman"/>
          <w:sz w:val="24"/>
          <w:szCs w:val="24"/>
        </w:rPr>
        <w:t>não</w:t>
      </w:r>
      <w:r w:rsidR="00B72930" w:rsidRPr="00332D83">
        <w:rPr>
          <w:rFonts w:ascii="Times New Roman" w:hAnsi="Times New Roman" w:cs="Times New Roman"/>
          <w:sz w:val="24"/>
          <w:szCs w:val="24"/>
        </w:rPr>
        <w:t xml:space="preserve"> foi, no entanto,</w:t>
      </w:r>
      <w:r w:rsidRPr="00332D83">
        <w:rPr>
          <w:rFonts w:ascii="Times New Roman" w:hAnsi="Times New Roman" w:cs="Times New Roman"/>
          <w:sz w:val="24"/>
          <w:szCs w:val="24"/>
        </w:rPr>
        <w:t xml:space="preserve"> estendido a outros </w:t>
      </w:r>
      <w:r w:rsidR="008E3CEC" w:rsidRPr="00332D83">
        <w:rPr>
          <w:rFonts w:ascii="Times New Roman" w:hAnsi="Times New Roman" w:cs="Times New Roman"/>
          <w:sz w:val="24"/>
          <w:szCs w:val="24"/>
        </w:rPr>
        <w:t>países</w:t>
      </w:r>
      <w:r w:rsidRPr="00332D83">
        <w:rPr>
          <w:rFonts w:ascii="Times New Roman" w:hAnsi="Times New Roman" w:cs="Times New Roman"/>
          <w:sz w:val="24"/>
          <w:szCs w:val="24"/>
        </w:rPr>
        <w:t xml:space="preserve">. </w:t>
      </w:r>
      <w:r w:rsidR="008E3CEC" w:rsidRPr="00332D83">
        <w:rPr>
          <w:rFonts w:ascii="Times New Roman" w:hAnsi="Times New Roman" w:cs="Times New Roman"/>
          <w:sz w:val="24"/>
          <w:szCs w:val="24"/>
        </w:rPr>
        <w:t>A União Soviética</w:t>
      </w:r>
      <w:r w:rsidRPr="00332D83">
        <w:rPr>
          <w:rFonts w:ascii="Times New Roman" w:hAnsi="Times New Roman" w:cs="Times New Roman"/>
          <w:sz w:val="24"/>
          <w:szCs w:val="24"/>
        </w:rPr>
        <w:t>, por exemplo, fo</w:t>
      </w:r>
      <w:r w:rsidR="008E3CEC" w:rsidRPr="00332D83">
        <w:rPr>
          <w:rFonts w:ascii="Times New Roman" w:hAnsi="Times New Roman" w:cs="Times New Roman"/>
          <w:sz w:val="24"/>
          <w:szCs w:val="24"/>
        </w:rPr>
        <w:t>i</w:t>
      </w:r>
      <w:r w:rsidRPr="00332D83">
        <w:rPr>
          <w:rFonts w:ascii="Times New Roman" w:hAnsi="Times New Roman" w:cs="Times New Roman"/>
          <w:sz w:val="24"/>
          <w:szCs w:val="24"/>
        </w:rPr>
        <w:t xml:space="preserve"> autorizad</w:t>
      </w:r>
      <w:r w:rsidR="008E3CEC" w:rsidRPr="00332D83">
        <w:rPr>
          <w:rFonts w:ascii="Times New Roman" w:hAnsi="Times New Roman" w:cs="Times New Roman"/>
          <w:sz w:val="24"/>
          <w:szCs w:val="24"/>
        </w:rPr>
        <w:t>a</w:t>
      </w:r>
      <w:r w:rsidRPr="00332D83">
        <w:rPr>
          <w:rFonts w:ascii="Times New Roman" w:hAnsi="Times New Roman" w:cs="Times New Roman"/>
          <w:sz w:val="24"/>
          <w:szCs w:val="24"/>
        </w:rPr>
        <w:t xml:space="preserve"> a manter saldo</w:t>
      </w:r>
      <w:r w:rsidR="008E3CEC" w:rsidRPr="00332D83">
        <w:rPr>
          <w:rFonts w:ascii="Times New Roman" w:hAnsi="Times New Roman" w:cs="Times New Roman"/>
          <w:sz w:val="24"/>
          <w:szCs w:val="24"/>
        </w:rPr>
        <w:t>s</w:t>
      </w:r>
      <w:r w:rsidRPr="00332D83">
        <w:rPr>
          <w:rFonts w:ascii="Times New Roman" w:hAnsi="Times New Roman" w:cs="Times New Roman"/>
          <w:sz w:val="24"/>
          <w:szCs w:val="24"/>
        </w:rPr>
        <w:t xml:space="preserve"> em dólares muito superiores aos do</w:t>
      </w:r>
      <w:r w:rsidR="009B15C3" w:rsidRPr="00332D83">
        <w:rPr>
          <w:rFonts w:ascii="Times New Roman" w:hAnsi="Times New Roman" w:cs="Times New Roman"/>
          <w:sz w:val="24"/>
          <w:szCs w:val="24"/>
        </w:rPr>
        <w:t>s</w:t>
      </w:r>
      <w:r w:rsidRPr="00332D83">
        <w:rPr>
          <w:rFonts w:ascii="Times New Roman" w:hAnsi="Times New Roman" w:cs="Times New Roman"/>
          <w:sz w:val="24"/>
          <w:szCs w:val="24"/>
        </w:rPr>
        <w:t xml:space="preserve"> ingleses</w:t>
      </w:r>
      <w:r w:rsidR="009B15C3" w:rsidRPr="00332D83">
        <w:rPr>
          <w:rFonts w:ascii="Times New Roman" w:hAnsi="Times New Roman" w:cs="Times New Roman"/>
          <w:sz w:val="24"/>
          <w:szCs w:val="24"/>
        </w:rPr>
        <w:t xml:space="preserve"> (</w:t>
      </w:r>
      <w:r w:rsidR="001F6F50" w:rsidRPr="00332D83">
        <w:rPr>
          <w:rFonts w:ascii="Times New Roman" w:hAnsi="Times New Roman" w:cs="Times New Roman"/>
          <w:sz w:val="24"/>
          <w:szCs w:val="24"/>
        </w:rPr>
        <w:t>WOODS</w:t>
      </w:r>
      <w:r w:rsidR="009B15C3" w:rsidRPr="00332D83">
        <w:rPr>
          <w:rFonts w:ascii="Times New Roman" w:hAnsi="Times New Roman" w:cs="Times New Roman"/>
          <w:sz w:val="24"/>
          <w:szCs w:val="24"/>
        </w:rPr>
        <w:t>, 1990)</w:t>
      </w:r>
    </w:p>
    <w:p w:rsidR="002A45A2" w:rsidRPr="00332D83" w:rsidRDefault="008E3CEC"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A</w:t>
      </w:r>
      <w:r w:rsidR="00B72930" w:rsidRPr="00332D83">
        <w:rPr>
          <w:rFonts w:ascii="Times New Roman" w:hAnsi="Times New Roman" w:cs="Times New Roman"/>
          <w:sz w:val="24"/>
          <w:szCs w:val="24"/>
        </w:rPr>
        <w:t xml:space="preserve"> subordinação da libra ao poder monetário americano voltaria ainda a ser </w:t>
      </w:r>
      <w:r w:rsidRPr="00332D83">
        <w:rPr>
          <w:rFonts w:ascii="Times New Roman" w:hAnsi="Times New Roman" w:cs="Times New Roman"/>
          <w:sz w:val="24"/>
          <w:szCs w:val="24"/>
        </w:rPr>
        <w:t xml:space="preserve">nesse período tratada como </w:t>
      </w:r>
      <w:r w:rsidR="00B72930" w:rsidRPr="00332D83">
        <w:rPr>
          <w:rFonts w:ascii="Times New Roman" w:hAnsi="Times New Roman" w:cs="Times New Roman"/>
          <w:sz w:val="24"/>
          <w:szCs w:val="24"/>
        </w:rPr>
        <w:t xml:space="preserve">tema central de dois outros </w:t>
      </w:r>
      <w:r w:rsidRPr="00332D83">
        <w:rPr>
          <w:rFonts w:ascii="Times New Roman" w:hAnsi="Times New Roman" w:cs="Times New Roman"/>
          <w:sz w:val="24"/>
          <w:szCs w:val="24"/>
        </w:rPr>
        <w:t>mecanismos de</w:t>
      </w:r>
      <w:r w:rsidR="00B72930" w:rsidRPr="00332D83">
        <w:rPr>
          <w:rFonts w:ascii="Times New Roman" w:hAnsi="Times New Roman" w:cs="Times New Roman"/>
          <w:sz w:val="24"/>
          <w:szCs w:val="24"/>
        </w:rPr>
        <w:t xml:space="preserve"> cooperação entre os dois países.  No acordo de Acordo de </w:t>
      </w:r>
      <w:proofErr w:type="spellStart"/>
      <w:r w:rsidR="00B72930" w:rsidRPr="00332D83">
        <w:rPr>
          <w:rFonts w:ascii="Times New Roman" w:hAnsi="Times New Roman" w:cs="Times New Roman"/>
          <w:sz w:val="24"/>
          <w:szCs w:val="24"/>
        </w:rPr>
        <w:t>Bretton</w:t>
      </w:r>
      <w:proofErr w:type="spellEnd"/>
      <w:r w:rsidR="00B72930" w:rsidRPr="00332D83">
        <w:rPr>
          <w:rFonts w:ascii="Times New Roman" w:hAnsi="Times New Roman" w:cs="Times New Roman"/>
          <w:sz w:val="24"/>
          <w:szCs w:val="24"/>
        </w:rPr>
        <w:t xml:space="preserve"> Woods (BW), </w:t>
      </w:r>
      <w:r w:rsidR="00E42DC0" w:rsidRPr="00332D83">
        <w:rPr>
          <w:rFonts w:ascii="Times New Roman" w:hAnsi="Times New Roman" w:cs="Times New Roman"/>
          <w:sz w:val="24"/>
          <w:szCs w:val="24"/>
        </w:rPr>
        <w:t>firmado em 1944</w:t>
      </w:r>
      <w:r w:rsidR="00B72930" w:rsidRPr="00332D83">
        <w:rPr>
          <w:rFonts w:ascii="Times New Roman" w:hAnsi="Times New Roman" w:cs="Times New Roman"/>
          <w:sz w:val="24"/>
          <w:szCs w:val="24"/>
        </w:rPr>
        <w:t xml:space="preserve">, apenas o dólar foi mencionado como moeda alternativa ao ouro como reserva do novo sistema. </w:t>
      </w:r>
      <w:r w:rsidRPr="00332D83">
        <w:rPr>
          <w:rFonts w:ascii="Times New Roman" w:hAnsi="Times New Roman" w:cs="Times New Roman"/>
          <w:sz w:val="24"/>
          <w:szCs w:val="24"/>
        </w:rPr>
        <w:t>Desse ponto de vista, a</w:t>
      </w:r>
      <w:r w:rsidR="00B72930" w:rsidRPr="00332D83">
        <w:rPr>
          <w:rFonts w:ascii="Times New Roman" w:hAnsi="Times New Roman" w:cs="Times New Roman"/>
          <w:sz w:val="24"/>
          <w:szCs w:val="24"/>
        </w:rPr>
        <w:t xml:space="preserve"> libra em nada se diferenciava da</w:t>
      </w:r>
      <w:r w:rsidR="00450345" w:rsidRPr="00332D83">
        <w:rPr>
          <w:rFonts w:ascii="Times New Roman" w:hAnsi="Times New Roman" w:cs="Times New Roman"/>
          <w:sz w:val="24"/>
          <w:szCs w:val="24"/>
        </w:rPr>
        <w:t>s</w:t>
      </w:r>
      <w:r w:rsidR="00B72930" w:rsidRPr="00332D83">
        <w:rPr>
          <w:rFonts w:ascii="Times New Roman" w:hAnsi="Times New Roman" w:cs="Times New Roman"/>
          <w:sz w:val="24"/>
          <w:szCs w:val="24"/>
        </w:rPr>
        <w:t xml:space="preserve"> moeda</w:t>
      </w:r>
      <w:r w:rsidR="00450345" w:rsidRPr="00332D83">
        <w:rPr>
          <w:rFonts w:ascii="Times New Roman" w:hAnsi="Times New Roman" w:cs="Times New Roman"/>
          <w:sz w:val="24"/>
          <w:szCs w:val="24"/>
        </w:rPr>
        <w:t>s</w:t>
      </w:r>
      <w:r w:rsidR="00B72930" w:rsidRPr="00332D83">
        <w:rPr>
          <w:rFonts w:ascii="Times New Roman" w:hAnsi="Times New Roman" w:cs="Times New Roman"/>
          <w:sz w:val="24"/>
          <w:szCs w:val="24"/>
        </w:rPr>
        <w:t xml:space="preserve"> dos demais países. </w:t>
      </w:r>
      <w:r w:rsidR="004D296E" w:rsidRPr="00332D83">
        <w:rPr>
          <w:rFonts w:ascii="Times New Roman" w:hAnsi="Times New Roman" w:cs="Times New Roman"/>
          <w:sz w:val="24"/>
          <w:szCs w:val="24"/>
        </w:rPr>
        <w:t xml:space="preserve">No ano </w:t>
      </w:r>
      <w:r w:rsidR="00A965E0" w:rsidRPr="00332D83">
        <w:rPr>
          <w:rFonts w:ascii="Times New Roman" w:hAnsi="Times New Roman" w:cs="Times New Roman"/>
          <w:sz w:val="24"/>
          <w:szCs w:val="24"/>
        </w:rPr>
        <w:t xml:space="preserve">seguinte, com o fim do conflito o </w:t>
      </w:r>
      <w:proofErr w:type="spellStart"/>
      <w:r w:rsidR="00A965E0" w:rsidRPr="00332D83">
        <w:rPr>
          <w:rFonts w:ascii="Times New Roman" w:hAnsi="Times New Roman" w:cs="Times New Roman"/>
          <w:i/>
          <w:sz w:val="24"/>
          <w:szCs w:val="24"/>
        </w:rPr>
        <w:t>lend-lease</w:t>
      </w:r>
      <w:proofErr w:type="spellEnd"/>
      <w:r w:rsidR="00A965E0" w:rsidRPr="00332D83">
        <w:rPr>
          <w:rFonts w:ascii="Times New Roman" w:hAnsi="Times New Roman" w:cs="Times New Roman"/>
          <w:sz w:val="24"/>
          <w:szCs w:val="24"/>
        </w:rPr>
        <w:t xml:space="preserve"> foi imediatamente suspenso e os ingleses voltar</w:t>
      </w:r>
      <w:r w:rsidR="003763DA" w:rsidRPr="00332D83">
        <w:rPr>
          <w:rFonts w:ascii="Times New Roman" w:hAnsi="Times New Roman" w:cs="Times New Roman"/>
          <w:sz w:val="24"/>
          <w:szCs w:val="24"/>
        </w:rPr>
        <w:t xml:space="preserve">am </w:t>
      </w:r>
      <w:r w:rsidR="00A965E0" w:rsidRPr="00332D83">
        <w:rPr>
          <w:rFonts w:ascii="Times New Roman" w:hAnsi="Times New Roman" w:cs="Times New Roman"/>
          <w:sz w:val="24"/>
          <w:szCs w:val="24"/>
        </w:rPr>
        <w:t>a acumular dívidas em dólares.</w:t>
      </w:r>
      <w:r w:rsidR="003763DA" w:rsidRPr="00332D83">
        <w:rPr>
          <w:rFonts w:ascii="Times New Roman" w:hAnsi="Times New Roman" w:cs="Times New Roman"/>
          <w:sz w:val="24"/>
          <w:szCs w:val="24"/>
        </w:rPr>
        <w:t xml:space="preserve"> Nessa oportunidade, os americanos voltaram à carga e </w:t>
      </w:r>
      <w:r w:rsidR="00B72930" w:rsidRPr="00332D83">
        <w:rPr>
          <w:rFonts w:ascii="Times New Roman" w:hAnsi="Times New Roman" w:cs="Times New Roman"/>
          <w:sz w:val="24"/>
          <w:szCs w:val="24"/>
        </w:rPr>
        <w:t xml:space="preserve">exigiram </w:t>
      </w:r>
      <w:r w:rsidR="00F23E1F">
        <w:rPr>
          <w:rFonts w:ascii="Times New Roman" w:hAnsi="Times New Roman" w:cs="Times New Roman"/>
          <w:sz w:val="24"/>
          <w:szCs w:val="24"/>
        </w:rPr>
        <w:t>o retorno</w:t>
      </w:r>
      <w:r w:rsidR="003763DA" w:rsidRPr="00332D83">
        <w:rPr>
          <w:rFonts w:ascii="Times New Roman" w:hAnsi="Times New Roman" w:cs="Times New Roman"/>
          <w:sz w:val="24"/>
          <w:szCs w:val="24"/>
        </w:rPr>
        <w:t xml:space="preserve"> </w:t>
      </w:r>
      <w:r w:rsidR="002A45A2" w:rsidRPr="00332D83">
        <w:rPr>
          <w:rFonts w:ascii="Times New Roman" w:hAnsi="Times New Roman" w:cs="Times New Roman"/>
          <w:sz w:val="24"/>
          <w:szCs w:val="24"/>
        </w:rPr>
        <w:t>em prazo curto</w:t>
      </w:r>
      <w:r w:rsidR="003763DA" w:rsidRPr="00332D83">
        <w:rPr>
          <w:rFonts w:ascii="Times New Roman" w:hAnsi="Times New Roman" w:cs="Times New Roman"/>
          <w:sz w:val="24"/>
          <w:szCs w:val="24"/>
        </w:rPr>
        <w:t xml:space="preserve"> da</w:t>
      </w:r>
      <w:r w:rsidR="00B72930" w:rsidRPr="00332D83">
        <w:rPr>
          <w:rFonts w:ascii="Times New Roman" w:hAnsi="Times New Roman" w:cs="Times New Roman"/>
          <w:sz w:val="24"/>
          <w:szCs w:val="24"/>
        </w:rPr>
        <w:t xml:space="preserve"> </w:t>
      </w:r>
      <w:r w:rsidR="00F23E1F">
        <w:rPr>
          <w:rFonts w:ascii="Times New Roman" w:hAnsi="Times New Roman" w:cs="Times New Roman"/>
          <w:sz w:val="24"/>
          <w:szCs w:val="24"/>
        </w:rPr>
        <w:t xml:space="preserve">plena </w:t>
      </w:r>
      <w:r w:rsidR="00B72930" w:rsidRPr="00332D83">
        <w:rPr>
          <w:rFonts w:ascii="Times New Roman" w:hAnsi="Times New Roman" w:cs="Times New Roman"/>
          <w:sz w:val="24"/>
          <w:szCs w:val="24"/>
        </w:rPr>
        <w:t>conversibilidade da</w:t>
      </w:r>
      <w:r w:rsidR="002A45A2" w:rsidRPr="00332D83">
        <w:rPr>
          <w:rFonts w:ascii="Times New Roman" w:hAnsi="Times New Roman" w:cs="Times New Roman"/>
          <w:sz w:val="24"/>
          <w:szCs w:val="24"/>
        </w:rPr>
        <w:t xml:space="preserve"> libra</w:t>
      </w:r>
      <w:r w:rsidR="00D55C76" w:rsidRPr="00332D83">
        <w:rPr>
          <w:rFonts w:ascii="Times New Roman" w:hAnsi="Times New Roman" w:cs="Times New Roman"/>
          <w:sz w:val="24"/>
          <w:szCs w:val="24"/>
        </w:rPr>
        <w:t xml:space="preserve">. </w:t>
      </w:r>
      <w:r w:rsidR="002A45A2" w:rsidRPr="00332D83">
        <w:rPr>
          <w:rFonts w:ascii="Times New Roman" w:hAnsi="Times New Roman" w:cs="Times New Roman"/>
          <w:sz w:val="24"/>
          <w:szCs w:val="24"/>
        </w:rPr>
        <w:t>Em troca, se comprometeram com um</w:t>
      </w:r>
      <w:r w:rsidR="00D55C76" w:rsidRPr="00332D83">
        <w:rPr>
          <w:rFonts w:ascii="Times New Roman" w:hAnsi="Times New Roman" w:cs="Times New Roman"/>
          <w:sz w:val="24"/>
          <w:szCs w:val="24"/>
        </w:rPr>
        <w:t xml:space="preserve"> empréstimo </w:t>
      </w:r>
      <w:r w:rsidR="005E0DEF" w:rsidRPr="00332D83">
        <w:rPr>
          <w:rFonts w:ascii="Times New Roman" w:hAnsi="Times New Roman" w:cs="Times New Roman"/>
          <w:sz w:val="24"/>
          <w:szCs w:val="24"/>
        </w:rPr>
        <w:t xml:space="preserve">de US$ 3,75 bilhões em dinheiro novo, valor </w:t>
      </w:r>
      <w:r w:rsidR="00D55C76" w:rsidRPr="00332D83">
        <w:rPr>
          <w:rFonts w:ascii="Times New Roman" w:hAnsi="Times New Roman" w:cs="Times New Roman"/>
          <w:sz w:val="24"/>
          <w:szCs w:val="24"/>
        </w:rPr>
        <w:t xml:space="preserve">pequeno para assegurar condições </w:t>
      </w:r>
      <w:r w:rsidR="00215211" w:rsidRPr="00332D83">
        <w:rPr>
          <w:rFonts w:ascii="Times New Roman" w:hAnsi="Times New Roman" w:cs="Times New Roman"/>
          <w:sz w:val="24"/>
          <w:szCs w:val="24"/>
        </w:rPr>
        <w:t xml:space="preserve">aos ingleses </w:t>
      </w:r>
      <w:r w:rsidR="00D55C76" w:rsidRPr="00332D83">
        <w:rPr>
          <w:rFonts w:ascii="Times New Roman" w:hAnsi="Times New Roman" w:cs="Times New Roman"/>
          <w:sz w:val="24"/>
          <w:szCs w:val="24"/>
        </w:rPr>
        <w:t xml:space="preserve">para estabilizar sua </w:t>
      </w:r>
      <w:r w:rsidR="00363DEB" w:rsidRPr="00332D83">
        <w:rPr>
          <w:rFonts w:ascii="Times New Roman" w:hAnsi="Times New Roman" w:cs="Times New Roman"/>
          <w:sz w:val="24"/>
          <w:szCs w:val="24"/>
        </w:rPr>
        <w:t xml:space="preserve">economia. </w:t>
      </w:r>
    </w:p>
    <w:p w:rsidR="00D55C76" w:rsidRPr="00332D83" w:rsidRDefault="00C678F9"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Como esperado, a</w:t>
      </w:r>
      <w:r w:rsidR="00363DEB" w:rsidRPr="00332D83">
        <w:rPr>
          <w:rFonts w:ascii="Times New Roman" w:hAnsi="Times New Roman" w:cs="Times New Roman"/>
          <w:sz w:val="24"/>
          <w:szCs w:val="24"/>
        </w:rPr>
        <w:t xml:space="preserve"> tentativa de </w:t>
      </w:r>
      <w:r w:rsidRPr="00332D83">
        <w:rPr>
          <w:rFonts w:ascii="Times New Roman" w:hAnsi="Times New Roman" w:cs="Times New Roman"/>
          <w:sz w:val="24"/>
          <w:szCs w:val="24"/>
        </w:rPr>
        <w:t>tornar a libra conversível em</w:t>
      </w:r>
      <w:r w:rsidR="00363DEB" w:rsidRPr="00332D83">
        <w:rPr>
          <w:rFonts w:ascii="Times New Roman" w:hAnsi="Times New Roman" w:cs="Times New Roman"/>
          <w:sz w:val="24"/>
          <w:szCs w:val="24"/>
        </w:rPr>
        <w:t xml:space="preserve"> 1947 teve curta duração</w:t>
      </w:r>
      <w:r w:rsidR="000B0405" w:rsidRPr="00332D83">
        <w:rPr>
          <w:rFonts w:ascii="Times New Roman" w:hAnsi="Times New Roman" w:cs="Times New Roman"/>
          <w:sz w:val="24"/>
          <w:szCs w:val="24"/>
        </w:rPr>
        <w:t xml:space="preserve">. Houve </w:t>
      </w:r>
      <w:r w:rsidR="00363DEB" w:rsidRPr="00332D83">
        <w:rPr>
          <w:rFonts w:ascii="Times New Roman" w:hAnsi="Times New Roman" w:cs="Times New Roman"/>
          <w:sz w:val="24"/>
          <w:szCs w:val="24"/>
        </w:rPr>
        <w:t xml:space="preserve">um </w:t>
      </w:r>
      <w:r w:rsidR="00D55C76" w:rsidRPr="00332D83">
        <w:rPr>
          <w:rFonts w:ascii="Times New Roman" w:hAnsi="Times New Roman" w:cs="Times New Roman"/>
          <w:sz w:val="24"/>
          <w:szCs w:val="24"/>
        </w:rPr>
        <w:t xml:space="preserve">forte ataque especulativo </w:t>
      </w:r>
      <w:r w:rsidR="000B0405" w:rsidRPr="00332D83">
        <w:rPr>
          <w:rFonts w:ascii="Times New Roman" w:hAnsi="Times New Roman" w:cs="Times New Roman"/>
          <w:sz w:val="24"/>
          <w:szCs w:val="24"/>
        </w:rPr>
        <w:t>que obrigou</w:t>
      </w:r>
      <w:r w:rsidR="00D55C76" w:rsidRPr="00332D83">
        <w:rPr>
          <w:rFonts w:ascii="Times New Roman" w:hAnsi="Times New Roman" w:cs="Times New Roman"/>
          <w:sz w:val="24"/>
          <w:szCs w:val="24"/>
        </w:rPr>
        <w:t xml:space="preserve"> à reimposição de controles cambiais em menos de um </w:t>
      </w:r>
      <w:r w:rsidR="00701C8D" w:rsidRPr="00332D83">
        <w:rPr>
          <w:rFonts w:ascii="Times New Roman" w:hAnsi="Times New Roman" w:cs="Times New Roman"/>
          <w:sz w:val="24"/>
          <w:szCs w:val="24"/>
        </w:rPr>
        <w:t>mês</w:t>
      </w:r>
      <w:r w:rsidR="00D55C76" w:rsidRPr="00332D83">
        <w:rPr>
          <w:rFonts w:ascii="Times New Roman" w:hAnsi="Times New Roman" w:cs="Times New Roman"/>
          <w:sz w:val="24"/>
          <w:szCs w:val="24"/>
        </w:rPr>
        <w:t xml:space="preserve">. Ingleses e americanos não tinham dúvidas que </w:t>
      </w:r>
      <w:r w:rsidR="00363DEB" w:rsidRPr="00332D83">
        <w:rPr>
          <w:rFonts w:ascii="Times New Roman" w:hAnsi="Times New Roman" w:cs="Times New Roman"/>
          <w:sz w:val="24"/>
          <w:szCs w:val="24"/>
        </w:rPr>
        <w:t>isso aconteceria</w:t>
      </w:r>
      <w:r w:rsidR="00D55C76" w:rsidRPr="00332D83">
        <w:rPr>
          <w:rFonts w:ascii="Times New Roman" w:hAnsi="Times New Roman" w:cs="Times New Roman"/>
          <w:sz w:val="24"/>
          <w:szCs w:val="24"/>
        </w:rPr>
        <w:t xml:space="preserve">. Entretanto, os americanos desejavam promover </w:t>
      </w:r>
      <w:r w:rsidR="00450345" w:rsidRPr="00332D83">
        <w:rPr>
          <w:rFonts w:ascii="Times New Roman" w:hAnsi="Times New Roman" w:cs="Times New Roman"/>
          <w:sz w:val="24"/>
          <w:szCs w:val="24"/>
        </w:rPr>
        <w:t xml:space="preserve">o mais rápido possível </w:t>
      </w:r>
      <w:r w:rsidR="00D55C76" w:rsidRPr="00332D83">
        <w:rPr>
          <w:rFonts w:ascii="Times New Roman" w:hAnsi="Times New Roman" w:cs="Times New Roman"/>
          <w:sz w:val="24"/>
          <w:szCs w:val="24"/>
        </w:rPr>
        <w:t>o desmantelamento do império britânico e</w:t>
      </w:r>
      <w:r w:rsidR="000B0405" w:rsidRPr="00332D83">
        <w:rPr>
          <w:rFonts w:ascii="Times New Roman" w:hAnsi="Times New Roman" w:cs="Times New Roman"/>
          <w:sz w:val="24"/>
          <w:szCs w:val="24"/>
        </w:rPr>
        <w:t>,</w:t>
      </w:r>
      <w:r w:rsidR="00D55C76" w:rsidRPr="00332D83">
        <w:rPr>
          <w:rFonts w:ascii="Times New Roman" w:hAnsi="Times New Roman" w:cs="Times New Roman"/>
          <w:sz w:val="24"/>
          <w:szCs w:val="24"/>
        </w:rPr>
        <w:t xml:space="preserve"> consequenteme</w:t>
      </w:r>
      <w:r w:rsidR="000B0405" w:rsidRPr="00332D83">
        <w:rPr>
          <w:rFonts w:ascii="Times New Roman" w:hAnsi="Times New Roman" w:cs="Times New Roman"/>
          <w:sz w:val="24"/>
          <w:szCs w:val="24"/>
        </w:rPr>
        <w:t>nte, eliminar qualquer resquício do papel</w:t>
      </w:r>
      <w:r w:rsidR="00D55C76" w:rsidRPr="00332D83">
        <w:rPr>
          <w:rFonts w:ascii="Times New Roman" w:hAnsi="Times New Roman" w:cs="Times New Roman"/>
          <w:sz w:val="24"/>
          <w:szCs w:val="24"/>
        </w:rPr>
        <w:t xml:space="preserve"> </w:t>
      </w:r>
      <w:r w:rsidR="000B0405" w:rsidRPr="00332D83">
        <w:rPr>
          <w:rFonts w:ascii="Times New Roman" w:hAnsi="Times New Roman" w:cs="Times New Roman"/>
          <w:sz w:val="24"/>
          <w:szCs w:val="24"/>
        </w:rPr>
        <w:t xml:space="preserve">histórico </w:t>
      </w:r>
      <w:r w:rsidR="00D55C76" w:rsidRPr="00332D83">
        <w:rPr>
          <w:rFonts w:ascii="Times New Roman" w:hAnsi="Times New Roman" w:cs="Times New Roman"/>
          <w:sz w:val="24"/>
          <w:szCs w:val="24"/>
        </w:rPr>
        <w:t>da libra como moeda central no sistema</w:t>
      </w:r>
      <w:r w:rsidR="00450345" w:rsidRPr="00332D83">
        <w:rPr>
          <w:rFonts w:ascii="Times New Roman" w:hAnsi="Times New Roman" w:cs="Times New Roman"/>
          <w:sz w:val="24"/>
          <w:szCs w:val="24"/>
        </w:rPr>
        <w:t xml:space="preserve"> monetário internacional</w:t>
      </w:r>
      <w:r w:rsidR="00D55C76" w:rsidRPr="00332D83">
        <w:rPr>
          <w:rFonts w:ascii="Times New Roman" w:hAnsi="Times New Roman" w:cs="Times New Roman"/>
          <w:sz w:val="24"/>
          <w:szCs w:val="24"/>
        </w:rPr>
        <w:t xml:space="preserve">. Do ponto de vista </w:t>
      </w:r>
      <w:r w:rsidR="00450345" w:rsidRPr="00332D83">
        <w:rPr>
          <w:rFonts w:ascii="Times New Roman" w:hAnsi="Times New Roman" w:cs="Times New Roman"/>
          <w:sz w:val="24"/>
          <w:szCs w:val="24"/>
        </w:rPr>
        <w:t>do governo da</w:t>
      </w:r>
      <w:r w:rsidR="00D55C76" w:rsidRPr="00332D83">
        <w:rPr>
          <w:rFonts w:ascii="Times New Roman" w:hAnsi="Times New Roman" w:cs="Times New Roman"/>
          <w:sz w:val="24"/>
          <w:szCs w:val="24"/>
        </w:rPr>
        <w:t xml:space="preserve"> Inglaterra, era melhor</w:t>
      </w:r>
      <w:r w:rsidR="00483306" w:rsidRPr="00332D83">
        <w:rPr>
          <w:rFonts w:ascii="Times New Roman" w:hAnsi="Times New Roman" w:cs="Times New Roman"/>
          <w:sz w:val="24"/>
          <w:szCs w:val="24"/>
        </w:rPr>
        <w:t>, por motivos estritamente políticos,</w:t>
      </w:r>
      <w:r w:rsidR="00D55C76" w:rsidRPr="00332D83">
        <w:rPr>
          <w:rFonts w:ascii="Times New Roman" w:hAnsi="Times New Roman" w:cs="Times New Roman"/>
          <w:sz w:val="24"/>
          <w:szCs w:val="24"/>
        </w:rPr>
        <w:t xml:space="preserve"> postergar </w:t>
      </w:r>
      <w:r w:rsidR="00363DEB" w:rsidRPr="00332D83">
        <w:rPr>
          <w:rFonts w:ascii="Times New Roman" w:hAnsi="Times New Roman" w:cs="Times New Roman"/>
          <w:sz w:val="24"/>
          <w:szCs w:val="24"/>
        </w:rPr>
        <w:t xml:space="preserve">a crise cambial </w:t>
      </w:r>
      <w:r w:rsidR="00D55C76" w:rsidRPr="00332D83">
        <w:rPr>
          <w:rFonts w:ascii="Times New Roman" w:hAnsi="Times New Roman" w:cs="Times New Roman"/>
          <w:sz w:val="24"/>
          <w:szCs w:val="24"/>
        </w:rPr>
        <w:t>por 12 meses</w:t>
      </w:r>
      <w:r w:rsidR="00363DEB" w:rsidRPr="00332D83">
        <w:rPr>
          <w:rFonts w:ascii="Times New Roman" w:hAnsi="Times New Roman" w:cs="Times New Roman"/>
          <w:sz w:val="24"/>
          <w:szCs w:val="24"/>
        </w:rPr>
        <w:t xml:space="preserve"> do que ser obrigado a atravessá-la </w:t>
      </w:r>
      <w:r w:rsidR="00D55C76" w:rsidRPr="00332D83">
        <w:rPr>
          <w:rFonts w:ascii="Times New Roman" w:hAnsi="Times New Roman" w:cs="Times New Roman"/>
          <w:sz w:val="24"/>
          <w:szCs w:val="24"/>
        </w:rPr>
        <w:t>em 1946.</w:t>
      </w:r>
    </w:p>
    <w:p w:rsidR="001F6F50" w:rsidRPr="000F3033" w:rsidRDefault="000B0405" w:rsidP="00276F21">
      <w:pPr>
        <w:spacing w:line="240" w:lineRule="auto"/>
        <w:jc w:val="both"/>
        <w:rPr>
          <w:rFonts w:ascii="Times New Roman" w:hAnsi="Times New Roman" w:cs="Times New Roman"/>
          <w:sz w:val="24"/>
          <w:szCs w:val="24"/>
          <w:lang w:val="en-US"/>
        </w:rPr>
      </w:pPr>
      <w:proofErr w:type="spellStart"/>
      <w:r w:rsidRPr="00332D83">
        <w:rPr>
          <w:rFonts w:ascii="Times New Roman" w:hAnsi="Times New Roman" w:cs="Times New Roman"/>
          <w:sz w:val="24"/>
          <w:szCs w:val="24"/>
          <w:lang w:val="en-US"/>
        </w:rPr>
        <w:t>Conf</w:t>
      </w:r>
      <w:r w:rsidR="001F6F50">
        <w:rPr>
          <w:rFonts w:ascii="Times New Roman" w:hAnsi="Times New Roman" w:cs="Times New Roman"/>
          <w:sz w:val="24"/>
          <w:szCs w:val="24"/>
          <w:lang w:val="en-US"/>
        </w:rPr>
        <w:t>orme</w:t>
      </w:r>
      <w:proofErr w:type="spellEnd"/>
      <w:r w:rsidR="001F6F50">
        <w:rPr>
          <w:rFonts w:ascii="Times New Roman" w:hAnsi="Times New Roman" w:cs="Times New Roman"/>
          <w:sz w:val="24"/>
          <w:szCs w:val="24"/>
          <w:lang w:val="en-US"/>
        </w:rPr>
        <w:t xml:space="preserve"> </w:t>
      </w:r>
      <w:proofErr w:type="spellStart"/>
      <w:r w:rsidR="001F6F50">
        <w:rPr>
          <w:rFonts w:ascii="Times New Roman" w:hAnsi="Times New Roman" w:cs="Times New Roman"/>
          <w:sz w:val="24"/>
          <w:szCs w:val="24"/>
          <w:lang w:val="en-US"/>
        </w:rPr>
        <w:t>apontado</w:t>
      </w:r>
      <w:proofErr w:type="spellEnd"/>
      <w:r w:rsidR="001F6F50">
        <w:rPr>
          <w:rFonts w:ascii="Times New Roman" w:hAnsi="Times New Roman" w:cs="Times New Roman"/>
          <w:sz w:val="24"/>
          <w:szCs w:val="24"/>
          <w:lang w:val="en-US"/>
        </w:rPr>
        <w:t xml:space="preserve"> </w:t>
      </w:r>
      <w:proofErr w:type="spellStart"/>
      <w:r w:rsidR="001F6F50">
        <w:rPr>
          <w:rFonts w:ascii="Times New Roman" w:hAnsi="Times New Roman" w:cs="Times New Roman"/>
          <w:sz w:val="24"/>
          <w:szCs w:val="24"/>
          <w:lang w:val="en-US"/>
        </w:rPr>
        <w:t>por</w:t>
      </w:r>
      <w:proofErr w:type="spellEnd"/>
      <w:r w:rsidR="001F6F50">
        <w:rPr>
          <w:rFonts w:ascii="Times New Roman" w:hAnsi="Times New Roman" w:cs="Times New Roman"/>
          <w:sz w:val="24"/>
          <w:szCs w:val="24"/>
          <w:lang w:val="en-US"/>
        </w:rPr>
        <w:t xml:space="preserve"> Mann</w:t>
      </w:r>
      <w:r w:rsidRPr="00332D83">
        <w:rPr>
          <w:rFonts w:ascii="Times New Roman" w:hAnsi="Times New Roman" w:cs="Times New Roman"/>
          <w:sz w:val="24"/>
          <w:szCs w:val="24"/>
          <w:lang w:val="en-US"/>
        </w:rPr>
        <w:t>: “</w:t>
      </w:r>
      <w:r w:rsidRPr="00332D83">
        <w:rPr>
          <w:rFonts w:ascii="Times New Roman" w:hAnsi="Times New Roman" w:cs="Times New Roman"/>
          <w:i/>
          <w:sz w:val="24"/>
          <w:szCs w:val="24"/>
          <w:lang w:val="en-US"/>
        </w:rPr>
        <w:t>The terms of US entry into the Second World War and the terms of the settlement of 1945-6 were both designed to weaken British post war power. Thus US goods imports now had equal access to the Empire; thus the crippling burden of dollar debt in 1945 was to be paid by the import of US goods; thus the US insistence on the convertibility of sterling. In 1946 a rush to convert sterling holdings into dollar depleted Britain´s gold and dollar reserves and caused a crisis. Convertibility was suspended in 1947 after a demonstration, satisfactory to the American eyes of sterling´s vulnerability. This was calculated to finish off Britain´s remaining global rivalry to the United States</w:t>
      </w:r>
      <w:r w:rsidRPr="00332D83">
        <w:rPr>
          <w:rFonts w:ascii="Times New Roman" w:hAnsi="Times New Roman" w:cs="Times New Roman"/>
          <w:sz w:val="24"/>
          <w:szCs w:val="24"/>
          <w:lang w:val="en-US"/>
        </w:rPr>
        <w:t>”</w:t>
      </w:r>
      <w:r w:rsidR="001F6F50">
        <w:rPr>
          <w:rFonts w:ascii="Times New Roman" w:hAnsi="Times New Roman" w:cs="Times New Roman"/>
          <w:sz w:val="24"/>
          <w:szCs w:val="24"/>
          <w:lang w:val="en-US"/>
        </w:rPr>
        <w:t xml:space="preserve"> </w:t>
      </w:r>
      <w:r w:rsidR="001F6F50">
        <w:rPr>
          <w:rFonts w:ascii="Times New Roman" w:hAnsi="Times New Roman" w:cs="Times New Roman"/>
          <w:color w:val="000000" w:themeColor="text1"/>
          <w:sz w:val="24"/>
          <w:szCs w:val="24"/>
          <w:lang w:val="en-US"/>
        </w:rPr>
        <w:t>(</w:t>
      </w:r>
      <w:r w:rsidR="001F6F50" w:rsidRPr="001F6F50">
        <w:rPr>
          <w:rFonts w:ascii="Times New Roman" w:hAnsi="Times New Roman" w:cs="Times New Roman"/>
          <w:sz w:val="24"/>
          <w:szCs w:val="24"/>
          <w:lang w:val="en-US"/>
        </w:rPr>
        <w:t>MANN,</w:t>
      </w:r>
      <w:r w:rsidR="001F6F50" w:rsidRPr="000F3033">
        <w:rPr>
          <w:rFonts w:ascii="Times New Roman" w:hAnsi="Times New Roman" w:cs="Times New Roman"/>
          <w:sz w:val="24"/>
          <w:szCs w:val="24"/>
          <w:lang w:val="en-US"/>
        </w:rPr>
        <w:t>1988:215).</w:t>
      </w:r>
    </w:p>
    <w:p w:rsidR="00D90688" w:rsidRPr="00EE5381" w:rsidRDefault="00363DEB"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Além de eliminar seu principal rival na partida, o</w:t>
      </w:r>
      <w:r w:rsidR="003464F1" w:rsidRPr="00332D83">
        <w:rPr>
          <w:rFonts w:ascii="Times New Roman" w:hAnsi="Times New Roman" w:cs="Times New Roman"/>
          <w:sz w:val="24"/>
          <w:szCs w:val="24"/>
        </w:rPr>
        <w:t xml:space="preserve"> poder monetário estrutural americano </w:t>
      </w:r>
      <w:r w:rsidRPr="00332D83">
        <w:rPr>
          <w:rFonts w:ascii="Times New Roman" w:hAnsi="Times New Roman" w:cs="Times New Roman"/>
          <w:sz w:val="24"/>
          <w:szCs w:val="24"/>
        </w:rPr>
        <w:t xml:space="preserve">determinou as </w:t>
      </w:r>
      <w:r w:rsidR="003464F1" w:rsidRPr="00332D83">
        <w:rPr>
          <w:rFonts w:ascii="Times New Roman" w:hAnsi="Times New Roman" w:cs="Times New Roman"/>
          <w:sz w:val="24"/>
          <w:szCs w:val="24"/>
        </w:rPr>
        <w:t xml:space="preserve">características do </w:t>
      </w:r>
      <w:r w:rsidR="00450345" w:rsidRPr="00332D83">
        <w:rPr>
          <w:rFonts w:ascii="Times New Roman" w:hAnsi="Times New Roman" w:cs="Times New Roman"/>
          <w:sz w:val="24"/>
          <w:szCs w:val="24"/>
        </w:rPr>
        <w:t xml:space="preserve">novo </w:t>
      </w:r>
      <w:r w:rsidR="003464F1" w:rsidRPr="00332D83">
        <w:rPr>
          <w:rFonts w:ascii="Times New Roman" w:hAnsi="Times New Roman" w:cs="Times New Roman"/>
          <w:sz w:val="24"/>
          <w:szCs w:val="24"/>
        </w:rPr>
        <w:t>sistema dólar-fixo. (S</w:t>
      </w:r>
      <w:r w:rsidR="00215211" w:rsidRPr="00332D83">
        <w:rPr>
          <w:rFonts w:ascii="Times New Roman" w:hAnsi="Times New Roman" w:cs="Times New Roman"/>
          <w:sz w:val="24"/>
          <w:szCs w:val="24"/>
        </w:rPr>
        <w:t>ERRANO</w:t>
      </w:r>
      <w:r w:rsidR="003464F1" w:rsidRPr="00332D83">
        <w:rPr>
          <w:rFonts w:ascii="Times New Roman" w:hAnsi="Times New Roman" w:cs="Times New Roman"/>
          <w:sz w:val="24"/>
          <w:szCs w:val="24"/>
        </w:rPr>
        <w:t xml:space="preserve">, 2002). </w:t>
      </w:r>
      <w:r w:rsidR="000040C9" w:rsidRPr="00332D83">
        <w:rPr>
          <w:rFonts w:ascii="Times New Roman" w:hAnsi="Times New Roman" w:cs="Times New Roman"/>
          <w:sz w:val="24"/>
          <w:szCs w:val="24"/>
        </w:rPr>
        <w:t xml:space="preserve">O sistema </w:t>
      </w:r>
      <w:r w:rsidR="000040C9" w:rsidRPr="00332D83">
        <w:rPr>
          <w:rFonts w:ascii="Times New Roman" w:hAnsi="Times New Roman" w:cs="Times New Roman"/>
          <w:sz w:val="24"/>
          <w:szCs w:val="24"/>
        </w:rPr>
        <w:lastRenderedPageBreak/>
        <w:t xml:space="preserve">de </w:t>
      </w:r>
      <w:proofErr w:type="spellStart"/>
      <w:r w:rsidR="000040C9" w:rsidRPr="00332D83">
        <w:rPr>
          <w:rFonts w:ascii="Times New Roman" w:hAnsi="Times New Roman" w:cs="Times New Roman"/>
          <w:sz w:val="24"/>
          <w:szCs w:val="24"/>
        </w:rPr>
        <w:t>Bretton</w:t>
      </w:r>
      <w:proofErr w:type="spellEnd"/>
      <w:r w:rsidR="000040C9" w:rsidRPr="00332D83">
        <w:rPr>
          <w:rFonts w:ascii="Times New Roman" w:hAnsi="Times New Roman" w:cs="Times New Roman"/>
          <w:sz w:val="24"/>
          <w:szCs w:val="24"/>
        </w:rPr>
        <w:t xml:space="preserve"> Woods (BW) </w:t>
      </w:r>
      <w:r w:rsidR="003464F1" w:rsidRPr="00332D83">
        <w:rPr>
          <w:rFonts w:ascii="Times New Roman" w:hAnsi="Times New Roman" w:cs="Times New Roman"/>
          <w:sz w:val="24"/>
          <w:szCs w:val="24"/>
        </w:rPr>
        <w:t>não</w:t>
      </w:r>
      <w:r w:rsidR="00450345" w:rsidRPr="00332D83">
        <w:rPr>
          <w:rFonts w:ascii="Times New Roman" w:hAnsi="Times New Roman" w:cs="Times New Roman"/>
          <w:sz w:val="24"/>
          <w:szCs w:val="24"/>
        </w:rPr>
        <w:t xml:space="preserve"> foi uma simples atualização dos mecanismos existentes </w:t>
      </w:r>
      <w:r w:rsidR="000040C9" w:rsidRPr="00332D83">
        <w:rPr>
          <w:rFonts w:ascii="Times New Roman" w:hAnsi="Times New Roman" w:cs="Times New Roman"/>
          <w:sz w:val="24"/>
          <w:szCs w:val="24"/>
        </w:rPr>
        <w:t>durante o padrão-ouro (1871-1914)</w:t>
      </w:r>
      <w:r w:rsidR="003464F1" w:rsidRPr="00332D83">
        <w:rPr>
          <w:rFonts w:ascii="Times New Roman" w:hAnsi="Times New Roman" w:cs="Times New Roman"/>
          <w:sz w:val="24"/>
          <w:szCs w:val="24"/>
        </w:rPr>
        <w:t xml:space="preserve">, tendo </w:t>
      </w:r>
      <w:r w:rsidR="00450345" w:rsidRPr="00332D83">
        <w:rPr>
          <w:rFonts w:ascii="Times New Roman" w:hAnsi="Times New Roman" w:cs="Times New Roman"/>
          <w:sz w:val="24"/>
          <w:szCs w:val="24"/>
        </w:rPr>
        <w:t>agora o dólar na posição central</w:t>
      </w:r>
      <w:r w:rsidR="000040C9" w:rsidRPr="00332D83">
        <w:rPr>
          <w:rFonts w:ascii="Times New Roman" w:hAnsi="Times New Roman" w:cs="Times New Roman"/>
          <w:sz w:val="24"/>
          <w:szCs w:val="24"/>
        </w:rPr>
        <w:t xml:space="preserve">. </w:t>
      </w:r>
      <w:r w:rsidR="006E13AA" w:rsidRPr="00332D83">
        <w:rPr>
          <w:rFonts w:ascii="Times New Roman" w:hAnsi="Times New Roman" w:cs="Times New Roman"/>
          <w:sz w:val="24"/>
          <w:szCs w:val="24"/>
        </w:rPr>
        <w:t xml:space="preserve"> Diferentemente, a</w:t>
      </w:r>
      <w:r w:rsidR="000040C9" w:rsidRPr="00332D83">
        <w:rPr>
          <w:rFonts w:ascii="Times New Roman" w:hAnsi="Times New Roman" w:cs="Times New Roman"/>
          <w:sz w:val="24"/>
          <w:szCs w:val="24"/>
        </w:rPr>
        <w:t xml:space="preserve"> moeda americana </w:t>
      </w:r>
      <w:r w:rsidR="006E13AA" w:rsidRPr="00332D83">
        <w:rPr>
          <w:rFonts w:ascii="Times New Roman" w:hAnsi="Times New Roman" w:cs="Times New Roman"/>
          <w:sz w:val="24"/>
          <w:szCs w:val="24"/>
        </w:rPr>
        <w:t xml:space="preserve">teria um status único e </w:t>
      </w:r>
      <w:r w:rsidR="000040C9" w:rsidRPr="00332D83">
        <w:rPr>
          <w:rFonts w:ascii="Times New Roman" w:hAnsi="Times New Roman" w:cs="Times New Roman"/>
          <w:sz w:val="24"/>
          <w:szCs w:val="24"/>
        </w:rPr>
        <w:t xml:space="preserve">garantido por </w:t>
      </w:r>
      <w:r w:rsidR="00E42DC0" w:rsidRPr="00332D83">
        <w:rPr>
          <w:rFonts w:ascii="Times New Roman" w:hAnsi="Times New Roman" w:cs="Times New Roman"/>
          <w:sz w:val="24"/>
          <w:szCs w:val="24"/>
        </w:rPr>
        <w:t>legislação</w:t>
      </w:r>
      <w:r w:rsidR="000040C9" w:rsidRPr="00332D83">
        <w:rPr>
          <w:rFonts w:ascii="Times New Roman" w:hAnsi="Times New Roman" w:cs="Times New Roman"/>
          <w:sz w:val="24"/>
          <w:szCs w:val="24"/>
        </w:rPr>
        <w:t xml:space="preserve"> internacional</w:t>
      </w:r>
      <w:r w:rsidR="006E13AA" w:rsidRPr="00332D83">
        <w:rPr>
          <w:rFonts w:ascii="Times New Roman" w:hAnsi="Times New Roman" w:cs="Times New Roman"/>
          <w:sz w:val="24"/>
          <w:szCs w:val="24"/>
        </w:rPr>
        <w:t>. Além disso</w:t>
      </w:r>
      <w:r w:rsidR="000040C9" w:rsidRPr="00332D83">
        <w:rPr>
          <w:rFonts w:ascii="Times New Roman" w:hAnsi="Times New Roman" w:cs="Times New Roman"/>
          <w:sz w:val="24"/>
          <w:szCs w:val="24"/>
        </w:rPr>
        <w:t xml:space="preserve">, </w:t>
      </w:r>
      <w:r w:rsidR="006E13AA" w:rsidRPr="00332D83">
        <w:rPr>
          <w:rFonts w:ascii="Times New Roman" w:hAnsi="Times New Roman" w:cs="Times New Roman"/>
          <w:sz w:val="24"/>
          <w:szCs w:val="24"/>
        </w:rPr>
        <w:t>a função</w:t>
      </w:r>
      <w:r w:rsidR="000040C9" w:rsidRPr="00332D83">
        <w:rPr>
          <w:rFonts w:ascii="Times New Roman" w:hAnsi="Times New Roman" w:cs="Times New Roman"/>
          <w:sz w:val="24"/>
          <w:szCs w:val="24"/>
        </w:rPr>
        <w:t xml:space="preserve"> do mercado financeiro privado no funcionamento do sistema </w:t>
      </w:r>
      <w:r w:rsidR="00921094" w:rsidRPr="00332D83">
        <w:rPr>
          <w:rFonts w:ascii="Times New Roman" w:hAnsi="Times New Roman" w:cs="Times New Roman"/>
          <w:sz w:val="24"/>
          <w:szCs w:val="24"/>
        </w:rPr>
        <w:t>seria diferente d</w:t>
      </w:r>
      <w:r w:rsidR="000B0405" w:rsidRPr="00332D83">
        <w:rPr>
          <w:rFonts w:ascii="Times New Roman" w:hAnsi="Times New Roman" w:cs="Times New Roman"/>
          <w:sz w:val="24"/>
          <w:szCs w:val="24"/>
        </w:rPr>
        <w:t>o</w:t>
      </w:r>
      <w:r w:rsidR="00921094" w:rsidRPr="00332D83">
        <w:rPr>
          <w:rFonts w:ascii="Times New Roman" w:hAnsi="Times New Roman" w:cs="Times New Roman"/>
          <w:sz w:val="24"/>
          <w:szCs w:val="24"/>
        </w:rPr>
        <w:t xml:space="preserve"> que</w:t>
      </w:r>
      <w:r w:rsidR="000040C9" w:rsidRPr="00332D83">
        <w:rPr>
          <w:rFonts w:ascii="Times New Roman" w:hAnsi="Times New Roman" w:cs="Times New Roman"/>
          <w:sz w:val="24"/>
          <w:szCs w:val="24"/>
        </w:rPr>
        <w:t xml:space="preserve"> </w:t>
      </w:r>
      <w:r w:rsidR="000B0405" w:rsidRPr="00332D83">
        <w:rPr>
          <w:rFonts w:ascii="Times New Roman" w:hAnsi="Times New Roman" w:cs="Times New Roman"/>
          <w:sz w:val="24"/>
          <w:szCs w:val="24"/>
        </w:rPr>
        <w:t xml:space="preserve">a </w:t>
      </w:r>
      <w:r w:rsidR="000040C9" w:rsidRPr="00332D83">
        <w:rPr>
          <w:rFonts w:ascii="Times New Roman" w:hAnsi="Times New Roman" w:cs="Times New Roman"/>
          <w:sz w:val="24"/>
          <w:szCs w:val="24"/>
        </w:rPr>
        <w:t xml:space="preserve">City londrina tinha desempenhado até o início da 1ª Guerra. </w:t>
      </w:r>
    </w:p>
    <w:p w:rsidR="00D90688" w:rsidRPr="00332D83" w:rsidRDefault="00B27009"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A concepção que deu base </w:t>
      </w:r>
      <w:r w:rsidR="00921094" w:rsidRPr="00332D83">
        <w:rPr>
          <w:rFonts w:ascii="Times New Roman" w:hAnsi="Times New Roman" w:cs="Times New Roman"/>
          <w:sz w:val="24"/>
          <w:szCs w:val="24"/>
        </w:rPr>
        <w:t>a</w:t>
      </w:r>
      <w:r w:rsidRPr="00332D83">
        <w:rPr>
          <w:rFonts w:ascii="Times New Roman" w:hAnsi="Times New Roman" w:cs="Times New Roman"/>
          <w:sz w:val="24"/>
          <w:szCs w:val="24"/>
        </w:rPr>
        <w:t xml:space="preserve"> </w:t>
      </w:r>
      <w:proofErr w:type="spellStart"/>
      <w:r w:rsidRPr="00332D83">
        <w:rPr>
          <w:rFonts w:ascii="Times New Roman" w:hAnsi="Times New Roman" w:cs="Times New Roman"/>
          <w:sz w:val="24"/>
          <w:szCs w:val="24"/>
        </w:rPr>
        <w:t>Bretton</w:t>
      </w:r>
      <w:proofErr w:type="spellEnd"/>
      <w:r w:rsidRPr="00332D83">
        <w:rPr>
          <w:rFonts w:ascii="Times New Roman" w:hAnsi="Times New Roman" w:cs="Times New Roman"/>
          <w:sz w:val="24"/>
          <w:szCs w:val="24"/>
        </w:rPr>
        <w:t xml:space="preserve"> Woods </w:t>
      </w:r>
      <w:r w:rsidR="00921094" w:rsidRPr="00332D83">
        <w:rPr>
          <w:rFonts w:ascii="Times New Roman" w:hAnsi="Times New Roman" w:cs="Times New Roman"/>
          <w:sz w:val="24"/>
          <w:szCs w:val="24"/>
        </w:rPr>
        <w:t>respondeu</w:t>
      </w:r>
      <w:r w:rsidRPr="00332D83">
        <w:rPr>
          <w:rFonts w:ascii="Times New Roman" w:hAnsi="Times New Roman" w:cs="Times New Roman"/>
          <w:sz w:val="24"/>
          <w:szCs w:val="24"/>
        </w:rPr>
        <w:t xml:space="preserve"> a uma visão própria dos Estados Unidos sobre </w:t>
      </w:r>
      <w:r w:rsidR="00F23E1F">
        <w:rPr>
          <w:rFonts w:ascii="Times New Roman" w:hAnsi="Times New Roman" w:cs="Times New Roman"/>
          <w:sz w:val="24"/>
          <w:szCs w:val="24"/>
        </w:rPr>
        <w:t>as características do</w:t>
      </w:r>
      <w:r w:rsidR="00363DEB" w:rsidRPr="00332D83">
        <w:rPr>
          <w:rFonts w:ascii="Times New Roman" w:hAnsi="Times New Roman" w:cs="Times New Roman"/>
          <w:sz w:val="24"/>
          <w:szCs w:val="24"/>
        </w:rPr>
        <w:t xml:space="preserve"> novo sistema internacional e do papel</w:t>
      </w:r>
      <w:r w:rsidRPr="00332D83">
        <w:rPr>
          <w:rFonts w:ascii="Times New Roman" w:hAnsi="Times New Roman" w:cs="Times New Roman"/>
          <w:sz w:val="24"/>
          <w:szCs w:val="24"/>
        </w:rPr>
        <w:t xml:space="preserve"> da sua moeda. </w:t>
      </w:r>
      <w:r w:rsidR="00921094" w:rsidRPr="00332D83">
        <w:rPr>
          <w:rFonts w:ascii="Times New Roman" w:hAnsi="Times New Roman" w:cs="Times New Roman"/>
          <w:sz w:val="24"/>
          <w:szCs w:val="24"/>
        </w:rPr>
        <w:t xml:space="preserve">Entre os princípios que nortearam </w:t>
      </w:r>
      <w:r w:rsidR="00363DEB" w:rsidRPr="00332D83">
        <w:rPr>
          <w:rFonts w:ascii="Times New Roman" w:hAnsi="Times New Roman" w:cs="Times New Roman"/>
          <w:sz w:val="24"/>
          <w:szCs w:val="24"/>
        </w:rPr>
        <w:t>o</w:t>
      </w:r>
      <w:r w:rsidR="00921094" w:rsidRPr="00332D83">
        <w:rPr>
          <w:rFonts w:ascii="Times New Roman" w:hAnsi="Times New Roman" w:cs="Times New Roman"/>
          <w:sz w:val="24"/>
          <w:szCs w:val="24"/>
        </w:rPr>
        <w:t xml:space="preserve"> acordo, </w:t>
      </w:r>
      <w:r w:rsidR="00D90688" w:rsidRPr="00332D83">
        <w:rPr>
          <w:rFonts w:ascii="Times New Roman" w:hAnsi="Times New Roman" w:cs="Times New Roman"/>
          <w:sz w:val="24"/>
          <w:szCs w:val="24"/>
        </w:rPr>
        <w:t>dois</w:t>
      </w:r>
      <w:r w:rsidR="00921094" w:rsidRPr="00332D83">
        <w:rPr>
          <w:rFonts w:ascii="Times New Roman" w:hAnsi="Times New Roman" w:cs="Times New Roman"/>
          <w:sz w:val="24"/>
          <w:szCs w:val="24"/>
        </w:rPr>
        <w:t xml:space="preserve"> foram destacados </w:t>
      </w:r>
      <w:r w:rsidR="006E13AA" w:rsidRPr="00332D83">
        <w:rPr>
          <w:rFonts w:ascii="Times New Roman" w:hAnsi="Times New Roman" w:cs="Times New Roman"/>
          <w:sz w:val="24"/>
          <w:szCs w:val="24"/>
        </w:rPr>
        <w:t>p</w:t>
      </w:r>
      <w:r w:rsidR="00921094" w:rsidRPr="00332D83">
        <w:rPr>
          <w:rFonts w:ascii="Times New Roman" w:hAnsi="Times New Roman" w:cs="Times New Roman"/>
          <w:sz w:val="24"/>
          <w:szCs w:val="24"/>
        </w:rPr>
        <w:t xml:space="preserve">elo </w:t>
      </w:r>
      <w:r w:rsidRPr="00332D83">
        <w:rPr>
          <w:rFonts w:ascii="Times New Roman" w:hAnsi="Times New Roman" w:cs="Times New Roman"/>
          <w:sz w:val="24"/>
          <w:szCs w:val="24"/>
        </w:rPr>
        <w:t>Secretário do Tesouro americano</w:t>
      </w:r>
      <w:r w:rsidR="00921094" w:rsidRPr="00332D83">
        <w:rPr>
          <w:rFonts w:ascii="Times New Roman" w:hAnsi="Times New Roman" w:cs="Times New Roman"/>
          <w:sz w:val="24"/>
          <w:szCs w:val="24"/>
        </w:rPr>
        <w:t xml:space="preserve"> da época</w:t>
      </w:r>
      <w:r w:rsidRPr="00332D83">
        <w:rPr>
          <w:rFonts w:ascii="Times New Roman" w:hAnsi="Times New Roman" w:cs="Times New Roman"/>
          <w:sz w:val="24"/>
          <w:szCs w:val="24"/>
        </w:rPr>
        <w:t xml:space="preserve">, Henry </w:t>
      </w:r>
      <w:proofErr w:type="spellStart"/>
      <w:r w:rsidRPr="00332D83">
        <w:rPr>
          <w:rFonts w:ascii="Times New Roman" w:hAnsi="Times New Roman" w:cs="Times New Roman"/>
          <w:sz w:val="24"/>
          <w:szCs w:val="24"/>
        </w:rPr>
        <w:t>Morgentha</w:t>
      </w:r>
      <w:r w:rsidR="006E13AA" w:rsidRPr="00332D83">
        <w:rPr>
          <w:rFonts w:ascii="Times New Roman" w:hAnsi="Times New Roman" w:cs="Times New Roman"/>
          <w:sz w:val="24"/>
          <w:szCs w:val="24"/>
        </w:rPr>
        <w:t>u</w:t>
      </w:r>
      <w:proofErr w:type="spellEnd"/>
      <w:r w:rsidR="00921094" w:rsidRPr="00332D83">
        <w:rPr>
          <w:rFonts w:ascii="Times New Roman" w:hAnsi="Times New Roman" w:cs="Times New Roman"/>
          <w:sz w:val="24"/>
          <w:szCs w:val="24"/>
        </w:rPr>
        <w:t xml:space="preserve">. </w:t>
      </w:r>
      <w:r w:rsidR="00921094" w:rsidRPr="00332D83">
        <w:rPr>
          <w:rFonts w:ascii="Times New Roman" w:hAnsi="Times New Roman" w:cs="Times New Roman"/>
          <w:sz w:val="24"/>
          <w:szCs w:val="24"/>
          <w:lang w:val="en-US"/>
        </w:rPr>
        <w:t xml:space="preserve">O </w:t>
      </w:r>
      <w:proofErr w:type="spellStart"/>
      <w:r w:rsidR="00921094" w:rsidRPr="00332D83">
        <w:rPr>
          <w:rFonts w:ascii="Times New Roman" w:hAnsi="Times New Roman" w:cs="Times New Roman"/>
          <w:sz w:val="24"/>
          <w:szCs w:val="24"/>
          <w:lang w:val="en-US"/>
        </w:rPr>
        <w:t>primeiro</w:t>
      </w:r>
      <w:proofErr w:type="spellEnd"/>
      <w:r w:rsidR="00921094" w:rsidRPr="00332D83">
        <w:rPr>
          <w:rFonts w:ascii="Times New Roman" w:hAnsi="Times New Roman" w:cs="Times New Roman"/>
          <w:sz w:val="24"/>
          <w:szCs w:val="24"/>
          <w:lang w:val="en-US"/>
        </w:rPr>
        <w:t xml:space="preserve"> deles </w:t>
      </w:r>
      <w:r w:rsidR="005A20D8" w:rsidRPr="00332D83">
        <w:rPr>
          <w:rFonts w:ascii="Times New Roman" w:hAnsi="Times New Roman" w:cs="Times New Roman"/>
          <w:sz w:val="24"/>
          <w:szCs w:val="24"/>
          <w:lang w:val="en-US"/>
        </w:rPr>
        <w:t>era</w:t>
      </w:r>
      <w:r w:rsidR="00921094" w:rsidRPr="00332D83">
        <w:rPr>
          <w:rFonts w:ascii="Times New Roman" w:hAnsi="Times New Roman" w:cs="Times New Roman"/>
          <w:sz w:val="24"/>
          <w:szCs w:val="24"/>
          <w:lang w:val="en-US"/>
        </w:rPr>
        <w:t xml:space="preserve"> </w:t>
      </w:r>
      <w:r w:rsidR="00363DEB" w:rsidRPr="00332D83">
        <w:rPr>
          <w:rFonts w:ascii="Times New Roman" w:hAnsi="Times New Roman" w:cs="Times New Roman"/>
          <w:sz w:val="24"/>
          <w:szCs w:val="24"/>
          <w:lang w:val="en-US"/>
        </w:rPr>
        <w:t xml:space="preserve">a </w:t>
      </w:r>
      <w:proofErr w:type="spellStart"/>
      <w:r w:rsidR="00363DEB" w:rsidRPr="00332D83">
        <w:rPr>
          <w:rFonts w:ascii="Times New Roman" w:hAnsi="Times New Roman" w:cs="Times New Roman"/>
          <w:sz w:val="24"/>
          <w:szCs w:val="24"/>
          <w:lang w:val="en-US"/>
        </w:rPr>
        <w:t>intenção</w:t>
      </w:r>
      <w:proofErr w:type="spellEnd"/>
      <w:r w:rsidR="00363DEB" w:rsidRPr="00332D83">
        <w:rPr>
          <w:rFonts w:ascii="Times New Roman" w:hAnsi="Times New Roman" w:cs="Times New Roman"/>
          <w:sz w:val="24"/>
          <w:szCs w:val="24"/>
          <w:lang w:val="en-US"/>
        </w:rPr>
        <w:t xml:space="preserve"> de </w:t>
      </w:r>
      <w:proofErr w:type="spellStart"/>
      <w:r w:rsidR="00921094" w:rsidRPr="00332D83">
        <w:rPr>
          <w:rFonts w:ascii="Times New Roman" w:hAnsi="Times New Roman" w:cs="Times New Roman"/>
          <w:sz w:val="24"/>
          <w:szCs w:val="24"/>
          <w:lang w:val="en-US"/>
        </w:rPr>
        <w:t>retirar</w:t>
      </w:r>
      <w:proofErr w:type="spellEnd"/>
      <w:r w:rsidR="00921094" w:rsidRPr="00332D83">
        <w:rPr>
          <w:rFonts w:ascii="Times New Roman" w:hAnsi="Times New Roman" w:cs="Times New Roman"/>
          <w:sz w:val="24"/>
          <w:szCs w:val="24"/>
          <w:lang w:val="en-US"/>
        </w:rPr>
        <w:t xml:space="preserve"> “</w:t>
      </w:r>
      <w:r w:rsidR="00D90688" w:rsidRPr="00332D83">
        <w:rPr>
          <w:rFonts w:ascii="Times New Roman" w:hAnsi="Times New Roman" w:cs="Times New Roman"/>
          <w:i/>
          <w:sz w:val="24"/>
          <w:szCs w:val="24"/>
          <w:lang w:val="en-US"/>
        </w:rPr>
        <w:t>the usurious money lenders from the temple of international finance (and)</w:t>
      </w:r>
      <w:r w:rsidR="00D90688" w:rsidRPr="00332D83">
        <w:rPr>
          <w:rFonts w:ascii="Times New Roman" w:hAnsi="Times New Roman" w:cs="Times New Roman"/>
          <w:sz w:val="24"/>
          <w:szCs w:val="24"/>
          <w:lang w:val="en-US"/>
        </w:rPr>
        <w:t xml:space="preserve"> </w:t>
      </w:r>
      <w:r w:rsidR="00D90688" w:rsidRPr="00332D83">
        <w:rPr>
          <w:rFonts w:ascii="Times New Roman" w:hAnsi="Times New Roman" w:cs="Times New Roman"/>
          <w:i/>
          <w:sz w:val="24"/>
          <w:szCs w:val="24"/>
          <w:lang w:val="en-US"/>
        </w:rPr>
        <w:t xml:space="preserve">to move the financial center of the world from London and Wall Street to the United States Treasury and to create a new concept between the nations of international </w:t>
      </w:r>
      <w:r w:rsidR="00EE5381">
        <w:rPr>
          <w:rFonts w:ascii="Times New Roman" w:hAnsi="Times New Roman" w:cs="Times New Roman"/>
          <w:i/>
          <w:sz w:val="24"/>
          <w:szCs w:val="24"/>
          <w:lang w:val="en-US"/>
        </w:rPr>
        <w:t>finance.</w:t>
      </w:r>
      <w:r w:rsidR="00C147E9" w:rsidRPr="00332D83">
        <w:rPr>
          <w:rFonts w:ascii="Times New Roman" w:hAnsi="Times New Roman" w:cs="Times New Roman"/>
          <w:i/>
          <w:sz w:val="24"/>
          <w:szCs w:val="24"/>
          <w:lang w:val="en-US"/>
        </w:rPr>
        <w:t>”</w:t>
      </w:r>
      <w:r w:rsidR="00D90688" w:rsidRPr="00332D83">
        <w:rPr>
          <w:rFonts w:ascii="Times New Roman" w:hAnsi="Times New Roman" w:cs="Times New Roman"/>
          <w:sz w:val="24"/>
          <w:szCs w:val="24"/>
          <w:lang w:val="en-US"/>
        </w:rPr>
        <w:t xml:space="preserve"> </w:t>
      </w:r>
      <w:r w:rsidR="00D90688" w:rsidRPr="00332D83">
        <w:rPr>
          <w:rFonts w:ascii="Times New Roman" w:hAnsi="Times New Roman" w:cs="Times New Roman"/>
          <w:sz w:val="24"/>
          <w:szCs w:val="24"/>
        </w:rPr>
        <w:t>(</w:t>
      </w:r>
      <w:r w:rsidR="001F6F50" w:rsidRPr="00332D83">
        <w:rPr>
          <w:rFonts w:ascii="Times New Roman" w:hAnsi="Times New Roman" w:cs="Times New Roman"/>
          <w:sz w:val="24"/>
          <w:szCs w:val="24"/>
        </w:rPr>
        <w:t>STEIL</w:t>
      </w:r>
      <w:r w:rsidR="00D90688" w:rsidRPr="00332D83">
        <w:rPr>
          <w:rFonts w:ascii="Times New Roman" w:hAnsi="Times New Roman" w:cs="Times New Roman"/>
          <w:sz w:val="24"/>
          <w:szCs w:val="24"/>
        </w:rPr>
        <w:t>, 2013:125)</w:t>
      </w:r>
      <w:r w:rsidR="005A20D8" w:rsidRPr="00332D83">
        <w:rPr>
          <w:rFonts w:ascii="Times New Roman" w:hAnsi="Times New Roman" w:cs="Times New Roman"/>
          <w:sz w:val="24"/>
          <w:szCs w:val="24"/>
        </w:rPr>
        <w:t>.</w:t>
      </w:r>
    </w:p>
    <w:p w:rsidR="00921094" w:rsidRPr="00436A69" w:rsidRDefault="00921094"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Em BW, os sistemas financeiros</w:t>
      </w:r>
      <w:r w:rsidR="00D90688" w:rsidRPr="00332D83">
        <w:rPr>
          <w:rFonts w:ascii="Times New Roman" w:hAnsi="Times New Roman" w:cs="Times New Roman"/>
          <w:sz w:val="24"/>
          <w:szCs w:val="24"/>
        </w:rPr>
        <w:t xml:space="preserve"> nacionais</w:t>
      </w:r>
      <w:r w:rsidRPr="00332D83">
        <w:rPr>
          <w:rFonts w:ascii="Times New Roman" w:hAnsi="Times New Roman" w:cs="Times New Roman"/>
          <w:sz w:val="24"/>
          <w:szCs w:val="24"/>
        </w:rPr>
        <w:t xml:space="preserve"> seriam </w:t>
      </w:r>
      <w:r w:rsidR="00483306" w:rsidRPr="00332D83">
        <w:rPr>
          <w:rFonts w:ascii="Times New Roman" w:hAnsi="Times New Roman" w:cs="Times New Roman"/>
          <w:sz w:val="24"/>
          <w:szCs w:val="24"/>
        </w:rPr>
        <w:t xml:space="preserve">internacionalmente </w:t>
      </w:r>
      <w:r w:rsidRPr="00332D83">
        <w:rPr>
          <w:rFonts w:ascii="Times New Roman" w:hAnsi="Times New Roman" w:cs="Times New Roman"/>
          <w:sz w:val="24"/>
          <w:szCs w:val="24"/>
        </w:rPr>
        <w:t xml:space="preserve">desintegrados e sujeitos ao ordenamento das autoridades locais. As contas de capitais seriam inconversíveis. Os bancos privados americanos estabelecidos em Nova Iorque – grande praça financeira internacional - teriam </w:t>
      </w:r>
      <w:r w:rsidR="006E13AA" w:rsidRPr="00332D83">
        <w:rPr>
          <w:rFonts w:ascii="Times New Roman" w:hAnsi="Times New Roman" w:cs="Times New Roman"/>
          <w:sz w:val="24"/>
          <w:szCs w:val="24"/>
        </w:rPr>
        <w:t>sua atuação</w:t>
      </w:r>
      <w:r w:rsidRPr="00332D83">
        <w:rPr>
          <w:rFonts w:ascii="Times New Roman" w:hAnsi="Times New Roman" w:cs="Times New Roman"/>
          <w:sz w:val="24"/>
          <w:szCs w:val="24"/>
        </w:rPr>
        <w:t xml:space="preserve"> internacional limitad</w:t>
      </w:r>
      <w:r w:rsidR="006E13AA" w:rsidRPr="00332D83">
        <w:rPr>
          <w:rFonts w:ascii="Times New Roman" w:hAnsi="Times New Roman" w:cs="Times New Roman"/>
          <w:sz w:val="24"/>
          <w:szCs w:val="24"/>
        </w:rPr>
        <w:t>a</w:t>
      </w:r>
      <w:r w:rsidRPr="00332D83">
        <w:rPr>
          <w:rFonts w:ascii="Times New Roman" w:hAnsi="Times New Roman" w:cs="Times New Roman"/>
          <w:sz w:val="24"/>
          <w:szCs w:val="24"/>
        </w:rPr>
        <w:t xml:space="preserve"> às operações de crédito comercial, não se aventurando no mundo das altas finanças como seus antecessores ingleses. Londres continuaria a existir, mas limitada às fina</w:t>
      </w:r>
      <w:r w:rsidR="00483306" w:rsidRPr="00332D83">
        <w:rPr>
          <w:rFonts w:ascii="Times New Roman" w:hAnsi="Times New Roman" w:cs="Times New Roman"/>
          <w:sz w:val="24"/>
          <w:szCs w:val="24"/>
        </w:rPr>
        <w:t>nças do antigo império</w:t>
      </w:r>
      <w:r w:rsidRPr="00332D83">
        <w:rPr>
          <w:rFonts w:ascii="Times New Roman" w:hAnsi="Times New Roman" w:cs="Times New Roman"/>
          <w:sz w:val="24"/>
          <w:szCs w:val="24"/>
        </w:rPr>
        <w:t xml:space="preserve"> e</w:t>
      </w:r>
      <w:r w:rsidR="00E42DC0" w:rsidRPr="00332D83">
        <w:rPr>
          <w:rFonts w:ascii="Times New Roman" w:hAnsi="Times New Roman" w:cs="Times New Roman"/>
          <w:sz w:val="24"/>
          <w:szCs w:val="24"/>
        </w:rPr>
        <w:t xml:space="preserve"> </w:t>
      </w:r>
      <w:r w:rsidR="00483306" w:rsidRPr="00332D83">
        <w:rPr>
          <w:rFonts w:ascii="Times New Roman" w:hAnsi="Times New Roman" w:cs="Times New Roman"/>
          <w:sz w:val="24"/>
          <w:szCs w:val="24"/>
        </w:rPr>
        <w:t>com uma base precária</w:t>
      </w:r>
      <w:r w:rsidR="00F23E1F">
        <w:rPr>
          <w:rFonts w:ascii="Times New Roman" w:hAnsi="Times New Roman" w:cs="Times New Roman"/>
          <w:sz w:val="24"/>
          <w:szCs w:val="24"/>
        </w:rPr>
        <w:t xml:space="preserve">: sua </w:t>
      </w:r>
      <w:r w:rsidRPr="00332D83">
        <w:rPr>
          <w:rFonts w:ascii="Times New Roman" w:hAnsi="Times New Roman" w:cs="Times New Roman"/>
          <w:sz w:val="24"/>
          <w:szCs w:val="24"/>
        </w:rPr>
        <w:t xml:space="preserve">moeda nacional - a libra </w:t>
      </w:r>
      <w:r w:rsidR="00F23E1F">
        <w:rPr>
          <w:rFonts w:ascii="Times New Roman" w:hAnsi="Times New Roman" w:cs="Times New Roman"/>
          <w:sz w:val="24"/>
          <w:szCs w:val="24"/>
        </w:rPr>
        <w:t>–</w:t>
      </w:r>
      <w:r w:rsidRPr="00332D83">
        <w:rPr>
          <w:rFonts w:ascii="Times New Roman" w:hAnsi="Times New Roman" w:cs="Times New Roman"/>
          <w:sz w:val="24"/>
          <w:szCs w:val="24"/>
        </w:rPr>
        <w:t xml:space="preserve"> </w:t>
      </w:r>
      <w:r w:rsidR="00F23E1F">
        <w:rPr>
          <w:rFonts w:ascii="Times New Roman" w:hAnsi="Times New Roman" w:cs="Times New Roman"/>
          <w:sz w:val="24"/>
          <w:szCs w:val="24"/>
        </w:rPr>
        <w:t xml:space="preserve">conviveria por muito tempo </w:t>
      </w:r>
      <w:r w:rsidRPr="00332D83">
        <w:rPr>
          <w:rFonts w:ascii="Times New Roman" w:hAnsi="Times New Roman" w:cs="Times New Roman"/>
          <w:sz w:val="24"/>
          <w:szCs w:val="24"/>
        </w:rPr>
        <w:t>com problema</w:t>
      </w:r>
      <w:r w:rsidR="00E42DC0" w:rsidRPr="00332D83">
        <w:rPr>
          <w:rFonts w:ascii="Times New Roman" w:hAnsi="Times New Roman" w:cs="Times New Roman"/>
          <w:sz w:val="24"/>
          <w:szCs w:val="24"/>
        </w:rPr>
        <w:t>s</w:t>
      </w:r>
      <w:r w:rsidRPr="00332D83">
        <w:rPr>
          <w:rFonts w:ascii="Times New Roman" w:hAnsi="Times New Roman" w:cs="Times New Roman"/>
          <w:sz w:val="24"/>
          <w:szCs w:val="24"/>
        </w:rPr>
        <w:t xml:space="preserve"> de conversibilidade.</w:t>
      </w:r>
      <w:r w:rsidR="00D90688" w:rsidRPr="00332D83">
        <w:rPr>
          <w:rFonts w:ascii="Times New Roman" w:hAnsi="Times New Roman" w:cs="Times New Roman"/>
          <w:sz w:val="24"/>
          <w:szCs w:val="24"/>
        </w:rPr>
        <w:t xml:space="preserve"> Os ajustes de balanço de pagamentos, que viessem a requerer assistência americana, seriam operados bilateralmente com os EUA ou através de organismos multilaterais, </w:t>
      </w:r>
      <w:r w:rsidR="006E13AA" w:rsidRPr="00332D83">
        <w:rPr>
          <w:rFonts w:ascii="Times New Roman" w:hAnsi="Times New Roman" w:cs="Times New Roman"/>
          <w:sz w:val="24"/>
          <w:szCs w:val="24"/>
        </w:rPr>
        <w:t>controlados pelos</w:t>
      </w:r>
      <w:r w:rsidR="00D90688" w:rsidRPr="00332D83">
        <w:rPr>
          <w:rFonts w:ascii="Times New Roman" w:hAnsi="Times New Roman" w:cs="Times New Roman"/>
          <w:sz w:val="24"/>
          <w:szCs w:val="24"/>
        </w:rPr>
        <w:t xml:space="preserve"> Estados Unidos. Finança intern</w:t>
      </w:r>
      <w:r w:rsidR="00E42DC0" w:rsidRPr="00332D83">
        <w:rPr>
          <w:rFonts w:ascii="Times New Roman" w:hAnsi="Times New Roman" w:cs="Times New Roman"/>
          <w:sz w:val="24"/>
          <w:szCs w:val="24"/>
        </w:rPr>
        <w:t>acional passaria a ser um jogo predominantemente</w:t>
      </w:r>
      <w:r w:rsidR="00D90688" w:rsidRPr="00332D83">
        <w:rPr>
          <w:rFonts w:ascii="Times New Roman" w:hAnsi="Times New Roman" w:cs="Times New Roman"/>
          <w:sz w:val="24"/>
          <w:szCs w:val="24"/>
        </w:rPr>
        <w:t xml:space="preserve"> </w:t>
      </w:r>
      <w:r w:rsidR="00D90688" w:rsidRPr="00436A69">
        <w:rPr>
          <w:rFonts w:ascii="Times New Roman" w:hAnsi="Times New Roman" w:cs="Times New Roman"/>
          <w:sz w:val="24"/>
          <w:szCs w:val="24"/>
        </w:rPr>
        <w:t>interestatal.</w:t>
      </w:r>
    </w:p>
    <w:p w:rsidR="004B29C7" w:rsidRPr="00332D83" w:rsidRDefault="00EE5381" w:rsidP="00276F21">
      <w:pPr>
        <w:spacing w:line="240" w:lineRule="auto"/>
        <w:jc w:val="both"/>
        <w:rPr>
          <w:rFonts w:ascii="Times New Roman" w:hAnsi="Times New Roman" w:cs="Times New Roman"/>
          <w:sz w:val="24"/>
          <w:szCs w:val="24"/>
        </w:rPr>
      </w:pPr>
      <w:r w:rsidRPr="00436A69">
        <w:rPr>
          <w:rFonts w:ascii="Times New Roman" w:hAnsi="Times New Roman" w:cs="Times New Roman"/>
          <w:sz w:val="24"/>
          <w:szCs w:val="24"/>
        </w:rPr>
        <w:t>O segundo princípio era o papel absoluto que o dólar teria no novo sistema monetário internacional.</w:t>
      </w:r>
      <w:r w:rsidRPr="00F212C6">
        <w:rPr>
          <w:rFonts w:cstheme="minorHAnsi"/>
          <w:sz w:val="24"/>
          <w:szCs w:val="24"/>
        </w:rPr>
        <w:t xml:space="preserve"> </w:t>
      </w:r>
      <w:r w:rsidR="00135166" w:rsidRPr="00332D83">
        <w:rPr>
          <w:rFonts w:ascii="Times New Roman" w:hAnsi="Times New Roman" w:cs="Times New Roman"/>
          <w:sz w:val="24"/>
          <w:szCs w:val="24"/>
        </w:rPr>
        <w:t xml:space="preserve">Isso significava submeter os </w:t>
      </w:r>
      <w:r w:rsidR="000B0405" w:rsidRPr="00332D83">
        <w:rPr>
          <w:rFonts w:ascii="Times New Roman" w:hAnsi="Times New Roman" w:cs="Times New Roman"/>
          <w:sz w:val="24"/>
          <w:szCs w:val="24"/>
        </w:rPr>
        <w:t xml:space="preserve">demais </w:t>
      </w:r>
      <w:r w:rsidR="00135166" w:rsidRPr="00332D83">
        <w:rPr>
          <w:rFonts w:ascii="Times New Roman" w:hAnsi="Times New Roman" w:cs="Times New Roman"/>
          <w:sz w:val="24"/>
          <w:szCs w:val="24"/>
        </w:rPr>
        <w:t>países Aliados</w:t>
      </w:r>
      <w:r w:rsidR="000B0405" w:rsidRPr="00332D83">
        <w:rPr>
          <w:rFonts w:ascii="Times New Roman" w:hAnsi="Times New Roman" w:cs="Times New Roman"/>
          <w:sz w:val="24"/>
          <w:szCs w:val="24"/>
        </w:rPr>
        <w:t xml:space="preserve"> e</w:t>
      </w:r>
      <w:r w:rsidR="00E42DC0" w:rsidRPr="00332D83">
        <w:rPr>
          <w:rFonts w:ascii="Times New Roman" w:hAnsi="Times New Roman" w:cs="Times New Roman"/>
          <w:sz w:val="24"/>
          <w:szCs w:val="24"/>
        </w:rPr>
        <w:t xml:space="preserve">, </w:t>
      </w:r>
      <w:r w:rsidR="000B0405" w:rsidRPr="00332D83">
        <w:rPr>
          <w:rFonts w:ascii="Times New Roman" w:hAnsi="Times New Roman" w:cs="Times New Roman"/>
          <w:sz w:val="24"/>
          <w:szCs w:val="24"/>
        </w:rPr>
        <w:t>em particular,</w:t>
      </w:r>
      <w:r w:rsidR="00E42DC0" w:rsidRPr="00332D83">
        <w:rPr>
          <w:rFonts w:ascii="Times New Roman" w:hAnsi="Times New Roman" w:cs="Times New Roman"/>
          <w:sz w:val="24"/>
          <w:szCs w:val="24"/>
        </w:rPr>
        <w:t xml:space="preserve"> o Império Inglês,</w:t>
      </w:r>
      <w:r w:rsidR="00135166" w:rsidRPr="00332D83">
        <w:rPr>
          <w:rFonts w:ascii="Times New Roman" w:hAnsi="Times New Roman" w:cs="Times New Roman"/>
          <w:sz w:val="24"/>
          <w:szCs w:val="24"/>
        </w:rPr>
        <w:t xml:space="preserve"> a cotar, pagar e se financiar </w:t>
      </w:r>
      <w:r w:rsidR="00E42DC0" w:rsidRPr="00332D83">
        <w:rPr>
          <w:rFonts w:ascii="Times New Roman" w:hAnsi="Times New Roman" w:cs="Times New Roman"/>
          <w:sz w:val="24"/>
          <w:szCs w:val="24"/>
        </w:rPr>
        <w:t>externamente</w:t>
      </w:r>
      <w:r w:rsidR="00135166" w:rsidRPr="00332D83">
        <w:rPr>
          <w:rFonts w:ascii="Times New Roman" w:hAnsi="Times New Roman" w:cs="Times New Roman"/>
          <w:sz w:val="24"/>
          <w:szCs w:val="24"/>
        </w:rPr>
        <w:t xml:space="preserve"> </w:t>
      </w:r>
      <w:r w:rsidR="004B29C7" w:rsidRPr="00332D83">
        <w:rPr>
          <w:rFonts w:ascii="Times New Roman" w:hAnsi="Times New Roman" w:cs="Times New Roman"/>
          <w:sz w:val="24"/>
          <w:szCs w:val="24"/>
        </w:rPr>
        <w:t>na</w:t>
      </w:r>
      <w:r w:rsidR="00135166" w:rsidRPr="00332D83">
        <w:rPr>
          <w:rFonts w:ascii="Times New Roman" w:hAnsi="Times New Roman" w:cs="Times New Roman"/>
          <w:sz w:val="24"/>
          <w:szCs w:val="24"/>
        </w:rPr>
        <w:t xml:space="preserve"> moeda americana. </w:t>
      </w:r>
      <w:r w:rsidR="00E42DC0" w:rsidRPr="00332D83">
        <w:rPr>
          <w:rFonts w:ascii="Times New Roman" w:hAnsi="Times New Roman" w:cs="Times New Roman"/>
          <w:sz w:val="24"/>
          <w:szCs w:val="24"/>
        </w:rPr>
        <w:t xml:space="preserve">Para tanto, </w:t>
      </w:r>
      <w:r w:rsidR="000B0405" w:rsidRPr="00332D83">
        <w:rPr>
          <w:rFonts w:ascii="Times New Roman" w:hAnsi="Times New Roman" w:cs="Times New Roman"/>
          <w:sz w:val="24"/>
          <w:szCs w:val="24"/>
        </w:rPr>
        <w:t>seria melhor que não</w:t>
      </w:r>
      <w:r w:rsidR="00E42DC0" w:rsidRPr="00332D83">
        <w:rPr>
          <w:rFonts w:ascii="Times New Roman" w:hAnsi="Times New Roman" w:cs="Times New Roman"/>
          <w:sz w:val="24"/>
          <w:szCs w:val="24"/>
        </w:rPr>
        <w:t xml:space="preserve"> existissem rivais, que à semelhança do que havia acontecido nas décadas anteriores, pudessem </w:t>
      </w:r>
      <w:r w:rsidR="000B0405" w:rsidRPr="00332D83">
        <w:rPr>
          <w:rFonts w:ascii="Times New Roman" w:hAnsi="Times New Roman" w:cs="Times New Roman"/>
          <w:sz w:val="24"/>
          <w:szCs w:val="24"/>
        </w:rPr>
        <w:t xml:space="preserve">criar obstáculos políticos ou </w:t>
      </w:r>
      <w:r w:rsidR="00E42DC0" w:rsidRPr="00332D83">
        <w:rPr>
          <w:rFonts w:ascii="Times New Roman" w:hAnsi="Times New Roman" w:cs="Times New Roman"/>
          <w:sz w:val="24"/>
          <w:szCs w:val="24"/>
        </w:rPr>
        <w:t xml:space="preserve">servir de base a especulações </w:t>
      </w:r>
      <w:r w:rsidR="00373970" w:rsidRPr="00332D83">
        <w:rPr>
          <w:rFonts w:ascii="Times New Roman" w:hAnsi="Times New Roman" w:cs="Times New Roman"/>
          <w:sz w:val="24"/>
          <w:szCs w:val="24"/>
        </w:rPr>
        <w:t>contra</w:t>
      </w:r>
      <w:r w:rsidR="00E42DC0" w:rsidRPr="00332D83">
        <w:rPr>
          <w:rFonts w:ascii="Times New Roman" w:hAnsi="Times New Roman" w:cs="Times New Roman"/>
          <w:sz w:val="24"/>
          <w:szCs w:val="24"/>
        </w:rPr>
        <w:t xml:space="preserve"> </w:t>
      </w:r>
      <w:r w:rsidR="00373970" w:rsidRPr="00332D83">
        <w:rPr>
          <w:rFonts w:ascii="Times New Roman" w:hAnsi="Times New Roman" w:cs="Times New Roman"/>
          <w:sz w:val="24"/>
          <w:szCs w:val="24"/>
        </w:rPr>
        <w:t>o regime de</w:t>
      </w:r>
      <w:r w:rsidR="00E42DC0" w:rsidRPr="00332D83">
        <w:rPr>
          <w:rFonts w:ascii="Times New Roman" w:hAnsi="Times New Roman" w:cs="Times New Roman"/>
          <w:sz w:val="24"/>
          <w:szCs w:val="24"/>
        </w:rPr>
        <w:t xml:space="preserve"> taxas de câmbio fixo que </w:t>
      </w:r>
      <w:r w:rsidR="000B0405" w:rsidRPr="00332D83">
        <w:rPr>
          <w:rFonts w:ascii="Times New Roman" w:hAnsi="Times New Roman" w:cs="Times New Roman"/>
          <w:sz w:val="24"/>
          <w:szCs w:val="24"/>
        </w:rPr>
        <w:t>estava sendo implantado</w:t>
      </w:r>
      <w:r w:rsidR="00373970" w:rsidRPr="00332D83">
        <w:rPr>
          <w:rFonts w:ascii="Times New Roman" w:hAnsi="Times New Roman" w:cs="Times New Roman"/>
          <w:sz w:val="24"/>
          <w:szCs w:val="24"/>
        </w:rPr>
        <w:t>.</w:t>
      </w:r>
      <w:r w:rsidR="006348EF" w:rsidRPr="00332D83">
        <w:rPr>
          <w:rFonts w:ascii="Times New Roman" w:hAnsi="Times New Roman" w:cs="Times New Roman"/>
          <w:sz w:val="24"/>
          <w:szCs w:val="24"/>
        </w:rPr>
        <w:t xml:space="preserve"> </w:t>
      </w:r>
      <w:r w:rsidR="00135166" w:rsidRPr="00332D83">
        <w:rPr>
          <w:rFonts w:ascii="Times New Roman" w:hAnsi="Times New Roman" w:cs="Times New Roman"/>
          <w:sz w:val="24"/>
          <w:szCs w:val="24"/>
        </w:rPr>
        <w:t xml:space="preserve">Os EUA já não se satisfariam, por motivos de segurança – e não apenas pelos interesses privados das empresas e bancos americanos – em </w:t>
      </w:r>
      <w:r w:rsidR="00373970" w:rsidRPr="00332D83">
        <w:rPr>
          <w:rFonts w:ascii="Times New Roman" w:hAnsi="Times New Roman" w:cs="Times New Roman"/>
          <w:sz w:val="24"/>
          <w:szCs w:val="24"/>
        </w:rPr>
        <w:t xml:space="preserve">ver </w:t>
      </w:r>
      <w:r w:rsidR="000B0405" w:rsidRPr="00332D83">
        <w:rPr>
          <w:rFonts w:ascii="Times New Roman" w:hAnsi="Times New Roman" w:cs="Times New Roman"/>
          <w:sz w:val="24"/>
          <w:szCs w:val="24"/>
        </w:rPr>
        <w:t xml:space="preserve">o dólar </w:t>
      </w:r>
      <w:r w:rsidR="00373970" w:rsidRPr="00332D83">
        <w:rPr>
          <w:rFonts w:ascii="Times New Roman" w:hAnsi="Times New Roman" w:cs="Times New Roman"/>
          <w:sz w:val="24"/>
          <w:szCs w:val="24"/>
        </w:rPr>
        <w:t xml:space="preserve">ser </w:t>
      </w:r>
      <w:r w:rsidR="00135166" w:rsidRPr="00332D83">
        <w:rPr>
          <w:rFonts w:ascii="Times New Roman" w:hAnsi="Times New Roman" w:cs="Times New Roman"/>
          <w:sz w:val="24"/>
          <w:szCs w:val="24"/>
        </w:rPr>
        <w:t xml:space="preserve">apenas </w:t>
      </w:r>
      <w:r w:rsidR="000B0405" w:rsidRPr="00332D83">
        <w:rPr>
          <w:rFonts w:ascii="Times New Roman" w:hAnsi="Times New Roman" w:cs="Times New Roman"/>
          <w:sz w:val="24"/>
          <w:szCs w:val="24"/>
        </w:rPr>
        <w:t xml:space="preserve">mais </w:t>
      </w:r>
      <w:r w:rsidR="00135166" w:rsidRPr="00332D83">
        <w:rPr>
          <w:rFonts w:ascii="Times New Roman" w:hAnsi="Times New Roman" w:cs="Times New Roman"/>
          <w:sz w:val="24"/>
          <w:szCs w:val="24"/>
        </w:rPr>
        <w:t>uma entre as moedas</w:t>
      </w:r>
      <w:r w:rsidR="0017521B" w:rsidRPr="00332D83">
        <w:rPr>
          <w:rFonts w:ascii="Times New Roman" w:hAnsi="Times New Roman" w:cs="Times New Roman"/>
          <w:sz w:val="24"/>
          <w:szCs w:val="24"/>
        </w:rPr>
        <w:t xml:space="preserve"> releva</w:t>
      </w:r>
      <w:r w:rsidR="000B0405" w:rsidRPr="00332D83">
        <w:rPr>
          <w:rFonts w:ascii="Times New Roman" w:hAnsi="Times New Roman" w:cs="Times New Roman"/>
          <w:sz w:val="24"/>
          <w:szCs w:val="24"/>
        </w:rPr>
        <w:t>ntes</w:t>
      </w:r>
      <w:r w:rsidR="00135166" w:rsidRPr="00332D83">
        <w:rPr>
          <w:rFonts w:ascii="Times New Roman" w:hAnsi="Times New Roman" w:cs="Times New Roman"/>
          <w:sz w:val="24"/>
          <w:szCs w:val="24"/>
        </w:rPr>
        <w:t xml:space="preserve">. O objetivo era </w:t>
      </w:r>
      <w:r w:rsidR="006348EF" w:rsidRPr="00332D83">
        <w:rPr>
          <w:rFonts w:ascii="Times New Roman" w:hAnsi="Times New Roman" w:cs="Times New Roman"/>
          <w:sz w:val="24"/>
          <w:szCs w:val="24"/>
        </w:rPr>
        <w:t>impô-la</w:t>
      </w:r>
      <w:r w:rsidR="00135166" w:rsidRPr="00332D83">
        <w:rPr>
          <w:rFonts w:ascii="Times New Roman" w:hAnsi="Times New Roman" w:cs="Times New Roman"/>
          <w:sz w:val="24"/>
          <w:szCs w:val="24"/>
        </w:rPr>
        <w:t xml:space="preserve">, de partida e de forma permanente, </w:t>
      </w:r>
      <w:r w:rsidR="006E13AA" w:rsidRPr="00332D83">
        <w:rPr>
          <w:rFonts w:ascii="Times New Roman" w:hAnsi="Times New Roman" w:cs="Times New Roman"/>
          <w:sz w:val="24"/>
          <w:szCs w:val="24"/>
        </w:rPr>
        <w:t xml:space="preserve">como </w:t>
      </w:r>
      <w:r w:rsidR="006348EF" w:rsidRPr="00332D83">
        <w:rPr>
          <w:rFonts w:ascii="Times New Roman" w:hAnsi="Times New Roman" w:cs="Times New Roman"/>
          <w:sz w:val="24"/>
          <w:szCs w:val="24"/>
        </w:rPr>
        <w:t>dominante</w:t>
      </w:r>
      <w:r w:rsidR="00135166" w:rsidRPr="00332D83">
        <w:rPr>
          <w:rFonts w:ascii="Times New Roman" w:hAnsi="Times New Roman" w:cs="Times New Roman"/>
          <w:sz w:val="24"/>
          <w:szCs w:val="24"/>
        </w:rPr>
        <w:t xml:space="preserve">. </w:t>
      </w:r>
    </w:p>
    <w:p w:rsidR="00810F31" w:rsidRPr="00031F13" w:rsidRDefault="00037685"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O poder monetário estrutural americano volt</w:t>
      </w:r>
      <w:r w:rsidR="00AF057A" w:rsidRPr="00332D83">
        <w:rPr>
          <w:rFonts w:ascii="Times New Roman" w:hAnsi="Times New Roman" w:cs="Times New Roman"/>
          <w:sz w:val="24"/>
          <w:szCs w:val="24"/>
        </w:rPr>
        <w:t>aria</w:t>
      </w:r>
      <w:r w:rsidRPr="00332D83">
        <w:rPr>
          <w:rFonts w:ascii="Times New Roman" w:hAnsi="Times New Roman" w:cs="Times New Roman"/>
          <w:sz w:val="24"/>
          <w:szCs w:val="24"/>
        </w:rPr>
        <w:t xml:space="preserve"> a </w:t>
      </w:r>
      <w:r w:rsidR="006F04EE" w:rsidRPr="00332D83">
        <w:rPr>
          <w:rFonts w:ascii="Times New Roman" w:hAnsi="Times New Roman" w:cs="Times New Roman"/>
          <w:sz w:val="24"/>
          <w:szCs w:val="24"/>
        </w:rPr>
        <w:t>se manifestar</w:t>
      </w:r>
      <w:r w:rsidR="00AF057A" w:rsidRPr="00332D83">
        <w:rPr>
          <w:rFonts w:ascii="Times New Roman" w:hAnsi="Times New Roman" w:cs="Times New Roman"/>
          <w:sz w:val="24"/>
          <w:szCs w:val="24"/>
        </w:rPr>
        <w:t xml:space="preserve"> </w:t>
      </w:r>
      <w:r w:rsidR="000B0405" w:rsidRPr="00332D83">
        <w:rPr>
          <w:rFonts w:ascii="Times New Roman" w:hAnsi="Times New Roman" w:cs="Times New Roman"/>
          <w:sz w:val="24"/>
          <w:szCs w:val="24"/>
        </w:rPr>
        <w:t>novamente</w:t>
      </w:r>
      <w:r w:rsidR="006348EF" w:rsidRPr="00332D83">
        <w:rPr>
          <w:rFonts w:ascii="Times New Roman" w:hAnsi="Times New Roman" w:cs="Times New Roman"/>
          <w:sz w:val="24"/>
          <w:szCs w:val="24"/>
        </w:rPr>
        <w:t xml:space="preserve"> na</w:t>
      </w:r>
      <w:r w:rsidRPr="00332D83">
        <w:rPr>
          <w:rFonts w:ascii="Times New Roman" w:hAnsi="Times New Roman" w:cs="Times New Roman"/>
          <w:sz w:val="24"/>
          <w:szCs w:val="24"/>
        </w:rPr>
        <w:t xml:space="preserve"> passagem do sistema do d</w:t>
      </w:r>
      <w:r w:rsidR="006F04EE" w:rsidRPr="00332D83">
        <w:rPr>
          <w:rFonts w:ascii="Times New Roman" w:hAnsi="Times New Roman" w:cs="Times New Roman"/>
          <w:sz w:val="24"/>
          <w:szCs w:val="24"/>
        </w:rPr>
        <w:t xml:space="preserve">ólar fixo para o dólar flexível em 1971. </w:t>
      </w:r>
      <w:r w:rsidR="00C86572" w:rsidRPr="00332D83">
        <w:rPr>
          <w:rFonts w:ascii="Times New Roman" w:hAnsi="Times New Roman" w:cs="Times New Roman"/>
          <w:sz w:val="24"/>
          <w:szCs w:val="24"/>
        </w:rPr>
        <w:t>(</w:t>
      </w:r>
      <w:r w:rsidR="001F6F50" w:rsidRPr="00332D83">
        <w:rPr>
          <w:rFonts w:ascii="Times New Roman" w:hAnsi="Times New Roman" w:cs="Times New Roman"/>
          <w:sz w:val="24"/>
          <w:szCs w:val="24"/>
        </w:rPr>
        <w:t>SERRANO</w:t>
      </w:r>
      <w:r w:rsidR="00C86572" w:rsidRPr="00332D83">
        <w:rPr>
          <w:rFonts w:ascii="Times New Roman" w:hAnsi="Times New Roman" w:cs="Times New Roman"/>
          <w:sz w:val="24"/>
          <w:szCs w:val="24"/>
        </w:rPr>
        <w:t>, 2002). Nesta</w:t>
      </w:r>
      <w:r w:rsidR="00AF057A" w:rsidRPr="00332D83">
        <w:rPr>
          <w:rFonts w:ascii="Times New Roman" w:hAnsi="Times New Roman" w:cs="Times New Roman"/>
          <w:sz w:val="24"/>
          <w:szCs w:val="24"/>
        </w:rPr>
        <w:t xml:space="preserve"> oportunidade, os EUA </w:t>
      </w:r>
      <w:r w:rsidR="006F04EE" w:rsidRPr="00332D83">
        <w:rPr>
          <w:rFonts w:ascii="Times New Roman" w:hAnsi="Times New Roman" w:cs="Times New Roman"/>
          <w:sz w:val="24"/>
          <w:szCs w:val="24"/>
        </w:rPr>
        <w:t xml:space="preserve">unilateralmente </w:t>
      </w:r>
      <w:r w:rsidR="000B0405" w:rsidRPr="00332D83">
        <w:rPr>
          <w:rFonts w:ascii="Times New Roman" w:hAnsi="Times New Roman" w:cs="Times New Roman"/>
          <w:sz w:val="24"/>
          <w:szCs w:val="24"/>
        </w:rPr>
        <w:t>suspenderam a</w:t>
      </w:r>
      <w:r w:rsidR="00C86572" w:rsidRPr="00332D83">
        <w:rPr>
          <w:rFonts w:ascii="Times New Roman" w:hAnsi="Times New Roman" w:cs="Times New Roman"/>
          <w:sz w:val="24"/>
          <w:szCs w:val="24"/>
        </w:rPr>
        <w:t xml:space="preserve"> </w:t>
      </w:r>
      <w:r w:rsidR="006F04EE" w:rsidRPr="00332D83">
        <w:rPr>
          <w:rFonts w:ascii="Times New Roman" w:hAnsi="Times New Roman" w:cs="Times New Roman"/>
          <w:sz w:val="24"/>
          <w:szCs w:val="24"/>
        </w:rPr>
        <w:t>conver</w:t>
      </w:r>
      <w:r w:rsidR="000B0405" w:rsidRPr="00332D83">
        <w:rPr>
          <w:rFonts w:ascii="Times New Roman" w:hAnsi="Times New Roman" w:cs="Times New Roman"/>
          <w:sz w:val="24"/>
          <w:szCs w:val="24"/>
        </w:rPr>
        <w:t>são de</w:t>
      </w:r>
      <w:r w:rsidR="006F04EE" w:rsidRPr="00332D83">
        <w:rPr>
          <w:rFonts w:ascii="Times New Roman" w:hAnsi="Times New Roman" w:cs="Times New Roman"/>
          <w:sz w:val="24"/>
          <w:szCs w:val="24"/>
        </w:rPr>
        <w:t xml:space="preserve"> sua moe</w:t>
      </w:r>
      <w:r w:rsidR="000F10C5" w:rsidRPr="00332D83">
        <w:rPr>
          <w:rFonts w:ascii="Times New Roman" w:hAnsi="Times New Roman" w:cs="Times New Roman"/>
          <w:sz w:val="24"/>
          <w:szCs w:val="24"/>
        </w:rPr>
        <w:t xml:space="preserve">da em ouro a uma paridade fixa, </w:t>
      </w:r>
      <w:r w:rsidR="00810F31" w:rsidRPr="00332D83">
        <w:rPr>
          <w:rFonts w:ascii="Times New Roman" w:hAnsi="Times New Roman" w:cs="Times New Roman"/>
          <w:sz w:val="24"/>
          <w:szCs w:val="24"/>
        </w:rPr>
        <w:t>descumprindo os termos</w:t>
      </w:r>
      <w:r w:rsidR="000F10C5" w:rsidRPr="00332D83">
        <w:rPr>
          <w:rFonts w:ascii="Times New Roman" w:hAnsi="Times New Roman" w:cs="Times New Roman"/>
          <w:sz w:val="24"/>
          <w:szCs w:val="24"/>
        </w:rPr>
        <w:t xml:space="preserve"> </w:t>
      </w:r>
      <w:r w:rsidR="00D37CF7" w:rsidRPr="00332D83">
        <w:rPr>
          <w:rFonts w:ascii="Times New Roman" w:hAnsi="Times New Roman" w:cs="Times New Roman"/>
          <w:sz w:val="24"/>
          <w:szCs w:val="24"/>
        </w:rPr>
        <w:t>do</w:t>
      </w:r>
      <w:r w:rsidR="000F10C5" w:rsidRPr="00332D83">
        <w:rPr>
          <w:rFonts w:ascii="Times New Roman" w:hAnsi="Times New Roman" w:cs="Times New Roman"/>
          <w:sz w:val="24"/>
          <w:szCs w:val="24"/>
        </w:rPr>
        <w:t xml:space="preserve"> Acordo de </w:t>
      </w:r>
      <w:proofErr w:type="spellStart"/>
      <w:r w:rsidR="000F10C5" w:rsidRPr="00332D83">
        <w:rPr>
          <w:rFonts w:ascii="Times New Roman" w:hAnsi="Times New Roman" w:cs="Times New Roman"/>
          <w:sz w:val="24"/>
          <w:szCs w:val="24"/>
        </w:rPr>
        <w:t>Bretton</w:t>
      </w:r>
      <w:proofErr w:type="spellEnd"/>
      <w:r w:rsidR="000F10C5" w:rsidRPr="00332D83">
        <w:rPr>
          <w:rFonts w:ascii="Times New Roman" w:hAnsi="Times New Roman" w:cs="Times New Roman"/>
          <w:sz w:val="24"/>
          <w:szCs w:val="24"/>
        </w:rPr>
        <w:t xml:space="preserve"> Woods.</w:t>
      </w:r>
      <w:r w:rsidR="00810F31" w:rsidRPr="00332D83">
        <w:rPr>
          <w:rFonts w:ascii="Times New Roman" w:hAnsi="Times New Roman" w:cs="Times New Roman"/>
          <w:sz w:val="24"/>
          <w:szCs w:val="24"/>
        </w:rPr>
        <w:t xml:space="preserve"> </w:t>
      </w:r>
      <w:r w:rsidR="00D37CF7" w:rsidRPr="00332D83">
        <w:rPr>
          <w:rFonts w:ascii="Times New Roman" w:hAnsi="Times New Roman" w:cs="Times New Roman"/>
          <w:sz w:val="24"/>
          <w:szCs w:val="24"/>
        </w:rPr>
        <w:t xml:space="preserve">A frase que talvez </w:t>
      </w:r>
      <w:r w:rsidR="002410F8" w:rsidRPr="00332D83">
        <w:rPr>
          <w:rFonts w:ascii="Times New Roman" w:hAnsi="Times New Roman" w:cs="Times New Roman"/>
          <w:sz w:val="24"/>
          <w:szCs w:val="24"/>
        </w:rPr>
        <w:t xml:space="preserve">melhor ilustre </w:t>
      </w:r>
      <w:r w:rsidR="00D37CF7" w:rsidRPr="00332D83">
        <w:rPr>
          <w:rFonts w:ascii="Times New Roman" w:hAnsi="Times New Roman" w:cs="Times New Roman"/>
          <w:sz w:val="24"/>
          <w:szCs w:val="24"/>
        </w:rPr>
        <w:t xml:space="preserve">o espírito que presidiu essa decisão foi proferida à época pelo </w:t>
      </w:r>
      <w:r w:rsidR="00810F31" w:rsidRPr="00332D83">
        <w:rPr>
          <w:rFonts w:ascii="Times New Roman" w:hAnsi="Times New Roman" w:cs="Times New Roman"/>
          <w:sz w:val="24"/>
          <w:szCs w:val="24"/>
        </w:rPr>
        <w:t>Secretário do Tesouro</w:t>
      </w:r>
      <w:r w:rsidR="00D37CF7" w:rsidRPr="00332D83">
        <w:rPr>
          <w:rFonts w:ascii="Times New Roman" w:hAnsi="Times New Roman" w:cs="Times New Roman"/>
          <w:sz w:val="24"/>
          <w:szCs w:val="24"/>
        </w:rPr>
        <w:t xml:space="preserve"> dos Estados Unidos</w:t>
      </w:r>
      <w:r w:rsidR="00810F31" w:rsidRPr="00332D83">
        <w:rPr>
          <w:rFonts w:ascii="Times New Roman" w:hAnsi="Times New Roman" w:cs="Times New Roman"/>
          <w:sz w:val="24"/>
          <w:szCs w:val="24"/>
        </w:rPr>
        <w:t xml:space="preserve">, John </w:t>
      </w:r>
      <w:proofErr w:type="spellStart"/>
      <w:r w:rsidR="00810F31" w:rsidRPr="00332D83">
        <w:rPr>
          <w:rFonts w:ascii="Times New Roman" w:hAnsi="Times New Roman" w:cs="Times New Roman"/>
          <w:sz w:val="24"/>
          <w:szCs w:val="24"/>
        </w:rPr>
        <w:t>Connally</w:t>
      </w:r>
      <w:proofErr w:type="spellEnd"/>
      <w:r w:rsidR="00810F31" w:rsidRPr="00332D83">
        <w:rPr>
          <w:rFonts w:ascii="Times New Roman" w:hAnsi="Times New Roman" w:cs="Times New Roman"/>
          <w:sz w:val="24"/>
          <w:szCs w:val="24"/>
        </w:rPr>
        <w:t xml:space="preserve">, perante uma plateia </w:t>
      </w:r>
      <w:r w:rsidR="00D37CF7" w:rsidRPr="00332D83">
        <w:rPr>
          <w:rFonts w:ascii="Times New Roman" w:hAnsi="Times New Roman" w:cs="Times New Roman"/>
          <w:sz w:val="24"/>
          <w:szCs w:val="24"/>
        </w:rPr>
        <w:t xml:space="preserve">atônita </w:t>
      </w:r>
      <w:r w:rsidR="00810F31" w:rsidRPr="00332D83">
        <w:rPr>
          <w:rFonts w:ascii="Times New Roman" w:hAnsi="Times New Roman" w:cs="Times New Roman"/>
          <w:sz w:val="24"/>
          <w:szCs w:val="24"/>
        </w:rPr>
        <w:t>de</w:t>
      </w:r>
      <w:r w:rsidR="00D37CF7" w:rsidRPr="00332D83">
        <w:rPr>
          <w:rFonts w:ascii="Times New Roman" w:hAnsi="Times New Roman" w:cs="Times New Roman"/>
          <w:sz w:val="24"/>
          <w:szCs w:val="24"/>
        </w:rPr>
        <w:t xml:space="preserve"> outros </w:t>
      </w:r>
      <w:r w:rsidR="00D37CF7" w:rsidRPr="00031F13">
        <w:rPr>
          <w:rFonts w:ascii="Times New Roman" w:hAnsi="Times New Roman" w:cs="Times New Roman"/>
          <w:sz w:val="24"/>
          <w:szCs w:val="24"/>
        </w:rPr>
        <w:t>ministros da Fazenda</w:t>
      </w:r>
      <w:r w:rsidR="00D37CF7" w:rsidRPr="000F3033">
        <w:rPr>
          <w:rFonts w:ascii="Times New Roman" w:hAnsi="Times New Roman" w:cs="Times New Roman"/>
          <w:i/>
          <w:sz w:val="24"/>
          <w:szCs w:val="24"/>
        </w:rPr>
        <w:t>:</w:t>
      </w:r>
      <w:r w:rsidR="00810F31" w:rsidRPr="000F3033">
        <w:rPr>
          <w:rFonts w:ascii="Times New Roman" w:hAnsi="Times New Roman" w:cs="Times New Roman"/>
          <w:i/>
          <w:sz w:val="24"/>
          <w:szCs w:val="24"/>
        </w:rPr>
        <w:t xml:space="preserve"> “The </w:t>
      </w:r>
      <w:proofErr w:type="spellStart"/>
      <w:r w:rsidR="00810F31" w:rsidRPr="000F3033">
        <w:rPr>
          <w:rFonts w:ascii="Times New Roman" w:hAnsi="Times New Roman" w:cs="Times New Roman"/>
          <w:i/>
          <w:sz w:val="24"/>
          <w:szCs w:val="24"/>
        </w:rPr>
        <w:t>dollar</w:t>
      </w:r>
      <w:proofErr w:type="spellEnd"/>
      <w:r w:rsidR="00810F31" w:rsidRPr="000F3033">
        <w:rPr>
          <w:rFonts w:ascii="Times New Roman" w:hAnsi="Times New Roman" w:cs="Times New Roman"/>
          <w:i/>
          <w:sz w:val="24"/>
          <w:szCs w:val="24"/>
        </w:rPr>
        <w:t xml:space="preserve"> </w:t>
      </w:r>
      <w:proofErr w:type="spellStart"/>
      <w:r w:rsidR="00810F31" w:rsidRPr="000F3033">
        <w:rPr>
          <w:rFonts w:ascii="Times New Roman" w:hAnsi="Times New Roman" w:cs="Times New Roman"/>
          <w:i/>
          <w:sz w:val="24"/>
          <w:szCs w:val="24"/>
        </w:rPr>
        <w:t>is</w:t>
      </w:r>
      <w:proofErr w:type="spellEnd"/>
      <w:r w:rsidR="00810F31" w:rsidRPr="000F3033">
        <w:rPr>
          <w:rFonts w:ascii="Times New Roman" w:hAnsi="Times New Roman" w:cs="Times New Roman"/>
          <w:i/>
          <w:sz w:val="24"/>
          <w:szCs w:val="24"/>
        </w:rPr>
        <w:t xml:space="preserve"> </w:t>
      </w:r>
      <w:proofErr w:type="spellStart"/>
      <w:r w:rsidR="00810F31" w:rsidRPr="000F3033">
        <w:rPr>
          <w:rFonts w:ascii="Times New Roman" w:hAnsi="Times New Roman" w:cs="Times New Roman"/>
          <w:i/>
          <w:sz w:val="24"/>
          <w:szCs w:val="24"/>
        </w:rPr>
        <w:t>our</w:t>
      </w:r>
      <w:proofErr w:type="spellEnd"/>
      <w:r w:rsidR="00810F31" w:rsidRPr="000F3033">
        <w:rPr>
          <w:rFonts w:ascii="Times New Roman" w:hAnsi="Times New Roman" w:cs="Times New Roman"/>
          <w:i/>
          <w:sz w:val="24"/>
          <w:szCs w:val="24"/>
        </w:rPr>
        <w:t xml:space="preserve"> </w:t>
      </w:r>
      <w:proofErr w:type="spellStart"/>
      <w:r w:rsidR="00810F31" w:rsidRPr="000F3033">
        <w:rPr>
          <w:rFonts w:ascii="Times New Roman" w:hAnsi="Times New Roman" w:cs="Times New Roman"/>
          <w:i/>
          <w:sz w:val="24"/>
          <w:szCs w:val="24"/>
        </w:rPr>
        <w:t>currency</w:t>
      </w:r>
      <w:proofErr w:type="spellEnd"/>
      <w:r w:rsidR="00810F31" w:rsidRPr="000F3033">
        <w:rPr>
          <w:rFonts w:ascii="Times New Roman" w:hAnsi="Times New Roman" w:cs="Times New Roman"/>
          <w:i/>
          <w:sz w:val="24"/>
          <w:szCs w:val="24"/>
        </w:rPr>
        <w:t xml:space="preserve">, </w:t>
      </w:r>
      <w:proofErr w:type="spellStart"/>
      <w:r w:rsidR="00810F31" w:rsidRPr="000F3033">
        <w:rPr>
          <w:rFonts w:ascii="Times New Roman" w:hAnsi="Times New Roman" w:cs="Times New Roman"/>
          <w:i/>
          <w:sz w:val="24"/>
          <w:szCs w:val="24"/>
        </w:rPr>
        <w:t>but</w:t>
      </w:r>
      <w:proofErr w:type="spellEnd"/>
      <w:r w:rsidR="00810F31" w:rsidRPr="000F3033">
        <w:rPr>
          <w:rFonts w:ascii="Times New Roman" w:hAnsi="Times New Roman" w:cs="Times New Roman"/>
          <w:i/>
          <w:sz w:val="24"/>
          <w:szCs w:val="24"/>
        </w:rPr>
        <w:t xml:space="preserve"> </w:t>
      </w:r>
      <w:proofErr w:type="spellStart"/>
      <w:r w:rsidR="00810F31" w:rsidRPr="000F3033">
        <w:rPr>
          <w:rFonts w:ascii="Times New Roman" w:hAnsi="Times New Roman" w:cs="Times New Roman"/>
          <w:i/>
          <w:sz w:val="24"/>
          <w:szCs w:val="24"/>
        </w:rPr>
        <w:t>it's</w:t>
      </w:r>
      <w:proofErr w:type="spellEnd"/>
      <w:r w:rsidR="00810F31" w:rsidRPr="000F3033">
        <w:rPr>
          <w:rFonts w:ascii="Times New Roman" w:hAnsi="Times New Roman" w:cs="Times New Roman"/>
          <w:i/>
          <w:sz w:val="24"/>
          <w:szCs w:val="24"/>
        </w:rPr>
        <w:t xml:space="preserve"> </w:t>
      </w:r>
      <w:proofErr w:type="spellStart"/>
      <w:r w:rsidR="00810F31" w:rsidRPr="000F3033">
        <w:rPr>
          <w:rFonts w:ascii="Times New Roman" w:hAnsi="Times New Roman" w:cs="Times New Roman"/>
          <w:i/>
          <w:sz w:val="24"/>
          <w:szCs w:val="24"/>
        </w:rPr>
        <w:t>your</w:t>
      </w:r>
      <w:proofErr w:type="spellEnd"/>
      <w:r w:rsidR="00810F31" w:rsidRPr="000F3033">
        <w:rPr>
          <w:rFonts w:ascii="Times New Roman" w:hAnsi="Times New Roman" w:cs="Times New Roman"/>
          <w:i/>
          <w:sz w:val="24"/>
          <w:szCs w:val="24"/>
        </w:rPr>
        <w:t xml:space="preserve"> </w:t>
      </w:r>
      <w:proofErr w:type="spellStart"/>
      <w:r w:rsidR="00810F31" w:rsidRPr="000F3033">
        <w:rPr>
          <w:rFonts w:ascii="Times New Roman" w:hAnsi="Times New Roman" w:cs="Times New Roman"/>
          <w:i/>
          <w:sz w:val="24"/>
          <w:szCs w:val="24"/>
        </w:rPr>
        <w:t>problem</w:t>
      </w:r>
      <w:proofErr w:type="spellEnd"/>
      <w:r w:rsidR="00810F31" w:rsidRPr="000F3033">
        <w:rPr>
          <w:rFonts w:ascii="Times New Roman" w:hAnsi="Times New Roman" w:cs="Times New Roman"/>
          <w:i/>
          <w:sz w:val="24"/>
          <w:szCs w:val="24"/>
        </w:rPr>
        <w:t>”</w:t>
      </w:r>
      <w:r w:rsidR="00031F13">
        <w:rPr>
          <w:rFonts w:ascii="Times New Roman" w:hAnsi="Times New Roman" w:cs="Times New Roman"/>
          <w:i/>
          <w:sz w:val="24"/>
          <w:szCs w:val="24"/>
        </w:rPr>
        <w:t xml:space="preserve"> </w:t>
      </w:r>
      <w:r w:rsidR="00810F31" w:rsidRPr="00031F13">
        <w:rPr>
          <w:rFonts w:ascii="Times New Roman" w:hAnsi="Times New Roman" w:cs="Times New Roman"/>
          <w:sz w:val="24"/>
          <w:szCs w:val="24"/>
        </w:rPr>
        <w:t>(</w:t>
      </w:r>
      <w:r w:rsidR="001F6F50" w:rsidRPr="00031F13">
        <w:rPr>
          <w:rFonts w:ascii="Times New Roman" w:hAnsi="Times New Roman" w:cs="Times New Roman"/>
          <w:sz w:val="24"/>
          <w:szCs w:val="24"/>
        </w:rPr>
        <w:t>WHITLEY</w:t>
      </w:r>
      <w:r w:rsidR="00810F31" w:rsidRPr="00031F13">
        <w:rPr>
          <w:rFonts w:ascii="Times New Roman" w:hAnsi="Times New Roman" w:cs="Times New Roman"/>
          <w:sz w:val="24"/>
          <w:szCs w:val="24"/>
        </w:rPr>
        <w:t>, 2013:21).</w:t>
      </w:r>
    </w:p>
    <w:p w:rsidR="00436A69" w:rsidRDefault="00620920" w:rsidP="00276F21">
      <w:pPr>
        <w:spacing w:line="240" w:lineRule="auto"/>
        <w:jc w:val="both"/>
        <w:rPr>
          <w:rFonts w:ascii="Times New Roman" w:hAnsi="Times New Roman" w:cs="Times New Roman"/>
          <w:sz w:val="24"/>
          <w:szCs w:val="24"/>
        </w:rPr>
      </w:pPr>
      <w:r w:rsidRPr="001F6F50">
        <w:rPr>
          <w:rFonts w:ascii="Times New Roman" w:hAnsi="Times New Roman" w:cs="Times New Roman"/>
          <w:sz w:val="24"/>
          <w:szCs w:val="24"/>
        </w:rPr>
        <w:t>Essa medida,</w:t>
      </w:r>
      <w:r w:rsidR="00F64B1E" w:rsidRPr="001F6F50">
        <w:rPr>
          <w:rFonts w:ascii="Times New Roman" w:hAnsi="Times New Roman" w:cs="Times New Roman"/>
          <w:sz w:val="24"/>
          <w:szCs w:val="24"/>
        </w:rPr>
        <w:t xml:space="preserve"> que deu origem à ruptura do sistema de taxas de câmbio fixo do pós-guerra</w:t>
      </w:r>
      <w:r w:rsidRPr="001F6F50">
        <w:rPr>
          <w:rFonts w:ascii="Times New Roman" w:hAnsi="Times New Roman" w:cs="Times New Roman"/>
          <w:sz w:val="24"/>
          <w:szCs w:val="24"/>
        </w:rPr>
        <w:t>,</w:t>
      </w:r>
      <w:r w:rsidR="000F10C5" w:rsidRPr="001F6F50">
        <w:rPr>
          <w:rFonts w:ascii="Times New Roman" w:hAnsi="Times New Roman" w:cs="Times New Roman"/>
          <w:sz w:val="24"/>
          <w:szCs w:val="24"/>
        </w:rPr>
        <w:t xml:space="preserve"> </w:t>
      </w:r>
      <w:r w:rsidR="001F0E99" w:rsidRPr="001F6F50">
        <w:rPr>
          <w:rFonts w:ascii="Times New Roman" w:hAnsi="Times New Roman" w:cs="Times New Roman"/>
          <w:sz w:val="24"/>
          <w:szCs w:val="24"/>
        </w:rPr>
        <w:t>gerou espanto generalizado e foi visto</w:t>
      </w:r>
      <w:r w:rsidR="002410F8" w:rsidRPr="001F6F50">
        <w:rPr>
          <w:rFonts w:ascii="Times New Roman" w:hAnsi="Times New Roman" w:cs="Times New Roman"/>
          <w:sz w:val="24"/>
          <w:szCs w:val="24"/>
        </w:rPr>
        <w:t xml:space="preserve"> por alguns autores como uma resposta precipitada a uma imposição dos mercados financeiros.</w:t>
      </w:r>
      <w:r w:rsidR="00FB16E4">
        <w:rPr>
          <w:rFonts w:ascii="Times New Roman" w:hAnsi="Times New Roman" w:cs="Times New Roman"/>
          <w:sz w:val="24"/>
          <w:szCs w:val="24"/>
        </w:rPr>
        <w:t xml:space="preserve"> Michael </w:t>
      </w:r>
      <w:proofErr w:type="spellStart"/>
      <w:r w:rsidR="00FB16E4">
        <w:rPr>
          <w:rFonts w:ascii="Times New Roman" w:hAnsi="Times New Roman" w:cs="Times New Roman"/>
          <w:sz w:val="24"/>
          <w:szCs w:val="24"/>
        </w:rPr>
        <w:t>Moffitt</w:t>
      </w:r>
      <w:proofErr w:type="spellEnd"/>
      <w:r w:rsidR="001F0E99" w:rsidRPr="001F6F50">
        <w:rPr>
          <w:rFonts w:ascii="Times New Roman" w:hAnsi="Times New Roman" w:cs="Times New Roman"/>
          <w:sz w:val="24"/>
          <w:szCs w:val="24"/>
        </w:rPr>
        <w:t xml:space="preserve">, </w:t>
      </w:r>
      <w:r w:rsidR="009A4BDA" w:rsidRPr="001F6F50">
        <w:rPr>
          <w:rFonts w:ascii="Times New Roman" w:hAnsi="Times New Roman" w:cs="Times New Roman"/>
          <w:sz w:val="24"/>
          <w:szCs w:val="24"/>
        </w:rPr>
        <w:t xml:space="preserve">por exemplo, </w:t>
      </w:r>
      <w:r w:rsidR="001F0E99" w:rsidRPr="001F6F50">
        <w:rPr>
          <w:rFonts w:ascii="Times New Roman" w:hAnsi="Times New Roman" w:cs="Times New Roman"/>
          <w:sz w:val="24"/>
          <w:szCs w:val="24"/>
        </w:rPr>
        <w:t>entende que</w:t>
      </w:r>
      <w:r w:rsidR="001F0E99" w:rsidRPr="00FB16E4">
        <w:rPr>
          <w:rFonts w:ascii="Times New Roman" w:hAnsi="Times New Roman" w:cs="Times New Roman"/>
          <w:i/>
          <w:sz w:val="24"/>
          <w:szCs w:val="24"/>
        </w:rPr>
        <w:t xml:space="preserve"> "a </w:t>
      </w:r>
      <w:r w:rsidR="001F0E99" w:rsidRPr="001F6F50">
        <w:rPr>
          <w:rFonts w:ascii="Times New Roman" w:hAnsi="Times New Roman" w:cs="Times New Roman"/>
          <w:i/>
          <w:sz w:val="24"/>
          <w:szCs w:val="24"/>
        </w:rPr>
        <w:t>causa imediata</w:t>
      </w:r>
      <w:r w:rsidR="001F0E99" w:rsidRPr="00FB16E4">
        <w:rPr>
          <w:rFonts w:ascii="Times New Roman" w:hAnsi="Times New Roman" w:cs="Times New Roman"/>
          <w:i/>
          <w:sz w:val="24"/>
          <w:szCs w:val="24"/>
        </w:rPr>
        <w:t xml:space="preserve"> da morte do sistema de </w:t>
      </w:r>
      <w:proofErr w:type="spellStart"/>
      <w:r w:rsidR="001F0E99" w:rsidRPr="001F6F50">
        <w:rPr>
          <w:rFonts w:ascii="Times New Roman" w:hAnsi="Times New Roman" w:cs="Times New Roman"/>
          <w:i/>
          <w:sz w:val="24"/>
          <w:szCs w:val="24"/>
        </w:rPr>
        <w:t>Bretton</w:t>
      </w:r>
      <w:proofErr w:type="spellEnd"/>
      <w:r w:rsidR="001F0E99" w:rsidRPr="001F6F50">
        <w:rPr>
          <w:rFonts w:ascii="Times New Roman" w:hAnsi="Times New Roman" w:cs="Times New Roman"/>
          <w:i/>
          <w:sz w:val="24"/>
          <w:szCs w:val="24"/>
        </w:rPr>
        <w:t xml:space="preserve"> Woods foi a maciça especulação contra o dólar</w:t>
      </w:r>
      <w:r w:rsidR="001F0E99" w:rsidRPr="00332D83">
        <w:rPr>
          <w:rFonts w:ascii="Times New Roman" w:hAnsi="Times New Roman" w:cs="Times New Roman"/>
          <w:sz w:val="24"/>
          <w:szCs w:val="24"/>
        </w:rPr>
        <w:t>"</w:t>
      </w:r>
      <w:r w:rsidR="00FB16E4">
        <w:rPr>
          <w:rFonts w:ascii="Times New Roman" w:hAnsi="Times New Roman" w:cs="Times New Roman"/>
          <w:sz w:val="24"/>
          <w:szCs w:val="24"/>
        </w:rPr>
        <w:t xml:space="preserve"> (</w:t>
      </w:r>
      <w:r w:rsidR="00FB16E4" w:rsidRPr="001F6F50">
        <w:rPr>
          <w:rFonts w:ascii="Times New Roman" w:hAnsi="Times New Roman" w:cs="Times New Roman"/>
          <w:sz w:val="24"/>
          <w:szCs w:val="24"/>
        </w:rPr>
        <w:t>MOFFITT</w:t>
      </w:r>
      <w:r w:rsidR="00FB16E4">
        <w:rPr>
          <w:rFonts w:ascii="Times New Roman" w:hAnsi="Times New Roman" w:cs="Times New Roman"/>
          <w:sz w:val="24"/>
          <w:szCs w:val="24"/>
        </w:rPr>
        <w:t>, 1</w:t>
      </w:r>
      <w:r w:rsidR="00FB16E4" w:rsidRPr="001F6F50">
        <w:rPr>
          <w:rFonts w:ascii="Times New Roman" w:hAnsi="Times New Roman" w:cs="Times New Roman"/>
          <w:sz w:val="24"/>
          <w:szCs w:val="24"/>
        </w:rPr>
        <w:t>984: 75)</w:t>
      </w:r>
      <w:r w:rsidR="001F0E99" w:rsidRPr="00332D83">
        <w:rPr>
          <w:rFonts w:ascii="Times New Roman" w:hAnsi="Times New Roman" w:cs="Times New Roman"/>
          <w:sz w:val="24"/>
          <w:szCs w:val="24"/>
        </w:rPr>
        <w:t xml:space="preserve">. </w:t>
      </w:r>
      <w:r w:rsidR="00B23DA1" w:rsidRPr="00332D83">
        <w:rPr>
          <w:rFonts w:ascii="Times New Roman" w:hAnsi="Times New Roman" w:cs="Times New Roman"/>
          <w:sz w:val="24"/>
          <w:szCs w:val="24"/>
        </w:rPr>
        <w:t xml:space="preserve">Essa também era a opinião de burocratas americanos, </w:t>
      </w:r>
      <w:r w:rsidR="00B23DA1" w:rsidRPr="00332D83">
        <w:rPr>
          <w:rFonts w:ascii="Times New Roman" w:hAnsi="Times New Roman" w:cs="Times New Roman"/>
          <w:sz w:val="24"/>
          <w:szCs w:val="24"/>
        </w:rPr>
        <w:lastRenderedPageBreak/>
        <w:t>co</w:t>
      </w:r>
      <w:r w:rsidR="009A4BDA" w:rsidRPr="00332D83">
        <w:rPr>
          <w:rFonts w:ascii="Times New Roman" w:hAnsi="Times New Roman" w:cs="Times New Roman"/>
          <w:sz w:val="24"/>
          <w:szCs w:val="24"/>
        </w:rPr>
        <w:t xml:space="preserve">mo Paul </w:t>
      </w:r>
      <w:proofErr w:type="spellStart"/>
      <w:r w:rsidR="009A4BDA" w:rsidRPr="00332D83">
        <w:rPr>
          <w:rFonts w:ascii="Times New Roman" w:hAnsi="Times New Roman" w:cs="Times New Roman"/>
          <w:sz w:val="24"/>
          <w:szCs w:val="24"/>
        </w:rPr>
        <w:t>Volcker</w:t>
      </w:r>
      <w:proofErr w:type="spellEnd"/>
      <w:r w:rsidR="009A4BDA" w:rsidRPr="00332D83">
        <w:rPr>
          <w:rFonts w:ascii="Times New Roman" w:hAnsi="Times New Roman" w:cs="Times New Roman"/>
          <w:sz w:val="24"/>
          <w:szCs w:val="24"/>
        </w:rPr>
        <w:t xml:space="preserve"> para quem abandonar a conversibilidade do dólar em ouro era um</w:t>
      </w:r>
      <w:r w:rsidR="00215211">
        <w:rPr>
          <w:rFonts w:ascii="Times New Roman" w:hAnsi="Times New Roman" w:cs="Times New Roman"/>
          <w:sz w:val="24"/>
          <w:szCs w:val="24"/>
        </w:rPr>
        <w:t>a resposta ao pânico de mercado (</w:t>
      </w:r>
      <w:r w:rsidR="00215211" w:rsidRPr="00332D83">
        <w:rPr>
          <w:rFonts w:ascii="Times New Roman" w:hAnsi="Times New Roman" w:cs="Times New Roman"/>
          <w:sz w:val="24"/>
          <w:szCs w:val="24"/>
        </w:rPr>
        <w:t xml:space="preserve">VOLCKER </w:t>
      </w:r>
      <w:r w:rsidR="00215211">
        <w:rPr>
          <w:rFonts w:ascii="Times New Roman" w:hAnsi="Times New Roman" w:cs="Times New Roman"/>
          <w:sz w:val="24"/>
          <w:szCs w:val="24"/>
        </w:rPr>
        <w:t>e GYOHTEN, 1992</w:t>
      </w:r>
      <w:r w:rsidR="00215211" w:rsidRPr="00332D83">
        <w:rPr>
          <w:rFonts w:ascii="Times New Roman" w:hAnsi="Times New Roman" w:cs="Times New Roman"/>
          <w:sz w:val="24"/>
          <w:szCs w:val="24"/>
        </w:rPr>
        <w:t>)</w:t>
      </w:r>
    </w:p>
    <w:p w:rsidR="001F0E99" w:rsidRPr="00332D83" w:rsidRDefault="001F0E99"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De fato, o aumento da liquidez do dólar e a falta de confiança dos mercados na capacidade de o governo americano sustentar a conversibilidade da sua moeda </w:t>
      </w:r>
      <w:r w:rsidR="000B0405" w:rsidRPr="00332D83">
        <w:rPr>
          <w:rFonts w:ascii="Times New Roman" w:hAnsi="Times New Roman" w:cs="Times New Roman"/>
          <w:sz w:val="24"/>
          <w:szCs w:val="24"/>
        </w:rPr>
        <w:t xml:space="preserve">em ouro </w:t>
      </w:r>
      <w:r w:rsidRPr="00332D83">
        <w:rPr>
          <w:rFonts w:ascii="Times New Roman" w:hAnsi="Times New Roman" w:cs="Times New Roman"/>
          <w:sz w:val="24"/>
          <w:szCs w:val="24"/>
        </w:rPr>
        <w:t xml:space="preserve">tinham gerado fortes ondas especulativas nos anos anteriores. Entretanto, a ruptura do sistema monetário </w:t>
      </w:r>
      <w:r w:rsidR="000B0405" w:rsidRPr="00332D83">
        <w:rPr>
          <w:rFonts w:ascii="Times New Roman" w:hAnsi="Times New Roman" w:cs="Times New Roman"/>
          <w:sz w:val="24"/>
          <w:szCs w:val="24"/>
        </w:rPr>
        <w:t xml:space="preserve">não foi </w:t>
      </w:r>
      <w:r w:rsidR="00F64B1E" w:rsidRPr="00332D83">
        <w:rPr>
          <w:rFonts w:ascii="Times New Roman" w:hAnsi="Times New Roman" w:cs="Times New Roman"/>
          <w:sz w:val="24"/>
          <w:szCs w:val="24"/>
        </w:rPr>
        <w:t xml:space="preserve">uma decisão precipitada. </w:t>
      </w:r>
      <w:r w:rsidR="00026EB8" w:rsidRPr="00332D83">
        <w:rPr>
          <w:rFonts w:ascii="Times New Roman" w:hAnsi="Times New Roman" w:cs="Times New Roman"/>
          <w:sz w:val="24"/>
          <w:szCs w:val="24"/>
        </w:rPr>
        <w:t>Em todos os momentos, nesse período, a</w:t>
      </w:r>
      <w:r w:rsidR="00F64B1E" w:rsidRPr="00332D83">
        <w:rPr>
          <w:rFonts w:ascii="Times New Roman" w:hAnsi="Times New Roman" w:cs="Times New Roman"/>
          <w:sz w:val="24"/>
          <w:szCs w:val="24"/>
        </w:rPr>
        <w:t xml:space="preserve"> instabilidade dos mercados de cambio c</w:t>
      </w:r>
      <w:r w:rsidRPr="00332D83">
        <w:rPr>
          <w:rFonts w:ascii="Times New Roman" w:hAnsi="Times New Roman" w:cs="Times New Roman"/>
          <w:sz w:val="24"/>
          <w:szCs w:val="24"/>
        </w:rPr>
        <w:t>onseguiu ser</w:t>
      </w:r>
      <w:r w:rsidR="00F64B1E" w:rsidRPr="00332D83">
        <w:rPr>
          <w:rFonts w:ascii="Times New Roman" w:hAnsi="Times New Roman" w:cs="Times New Roman"/>
          <w:sz w:val="24"/>
          <w:szCs w:val="24"/>
        </w:rPr>
        <w:t xml:space="preserve"> controlada. Além disso, não há sinais de que </w:t>
      </w:r>
      <w:r w:rsidR="00620920" w:rsidRPr="00332D83">
        <w:rPr>
          <w:rFonts w:ascii="Times New Roman" w:hAnsi="Times New Roman" w:cs="Times New Roman"/>
          <w:sz w:val="24"/>
          <w:szCs w:val="24"/>
        </w:rPr>
        <w:t>Washington já tivesse</w:t>
      </w:r>
      <w:r w:rsidR="00E83FC0" w:rsidRPr="00332D83">
        <w:rPr>
          <w:rFonts w:ascii="Times New Roman" w:hAnsi="Times New Roman" w:cs="Times New Roman"/>
          <w:sz w:val="24"/>
          <w:szCs w:val="24"/>
        </w:rPr>
        <w:t xml:space="preserve"> esgota</w:t>
      </w:r>
      <w:r w:rsidR="00026EB8" w:rsidRPr="00332D83">
        <w:rPr>
          <w:rFonts w:ascii="Times New Roman" w:hAnsi="Times New Roman" w:cs="Times New Roman"/>
          <w:sz w:val="24"/>
          <w:szCs w:val="24"/>
        </w:rPr>
        <w:t>do</w:t>
      </w:r>
      <w:r w:rsidR="00E83FC0" w:rsidRPr="00332D83">
        <w:rPr>
          <w:rFonts w:ascii="Times New Roman" w:hAnsi="Times New Roman" w:cs="Times New Roman"/>
          <w:sz w:val="24"/>
          <w:szCs w:val="24"/>
        </w:rPr>
        <w:t xml:space="preserve"> </w:t>
      </w:r>
      <w:r w:rsidR="00017BA7">
        <w:rPr>
          <w:rFonts w:ascii="Times New Roman" w:hAnsi="Times New Roman" w:cs="Times New Roman"/>
          <w:sz w:val="24"/>
          <w:szCs w:val="24"/>
        </w:rPr>
        <w:t>suas</w:t>
      </w:r>
      <w:r w:rsidR="00E83FC0" w:rsidRPr="00332D83">
        <w:rPr>
          <w:rFonts w:ascii="Times New Roman" w:hAnsi="Times New Roman" w:cs="Times New Roman"/>
          <w:sz w:val="24"/>
          <w:szCs w:val="24"/>
        </w:rPr>
        <w:t xml:space="preserve"> opções para lidar com esse problema. Entre as alternativas que </w:t>
      </w:r>
      <w:r w:rsidR="00613191" w:rsidRPr="00332D83">
        <w:rPr>
          <w:rFonts w:ascii="Times New Roman" w:hAnsi="Times New Roman" w:cs="Times New Roman"/>
          <w:sz w:val="24"/>
          <w:szCs w:val="24"/>
        </w:rPr>
        <w:t xml:space="preserve">lhes </w:t>
      </w:r>
      <w:r w:rsidR="00E83FC0" w:rsidRPr="00332D83">
        <w:rPr>
          <w:rFonts w:ascii="Times New Roman" w:hAnsi="Times New Roman" w:cs="Times New Roman"/>
          <w:sz w:val="24"/>
          <w:szCs w:val="24"/>
        </w:rPr>
        <w:t>restavam estavam</w:t>
      </w:r>
      <w:r w:rsidR="000B0405" w:rsidRPr="00332D83">
        <w:rPr>
          <w:rFonts w:ascii="Times New Roman" w:hAnsi="Times New Roman" w:cs="Times New Roman"/>
          <w:sz w:val="24"/>
          <w:szCs w:val="24"/>
        </w:rPr>
        <w:t>:</w:t>
      </w:r>
      <w:r w:rsidR="00E83FC0" w:rsidRPr="00332D83">
        <w:rPr>
          <w:rFonts w:ascii="Times New Roman" w:hAnsi="Times New Roman" w:cs="Times New Roman"/>
          <w:sz w:val="24"/>
          <w:szCs w:val="24"/>
        </w:rPr>
        <w:t xml:space="preserve"> a desvalorização do dólar, o aumento das taxas de juros nos EUA e a realização de intervenções no mercado de ouro. </w:t>
      </w:r>
      <w:r w:rsidR="00EE5381">
        <w:rPr>
          <w:rFonts w:ascii="Times New Roman" w:hAnsi="Times New Roman" w:cs="Times New Roman"/>
          <w:sz w:val="24"/>
          <w:szCs w:val="24"/>
        </w:rPr>
        <w:tab/>
      </w:r>
    </w:p>
    <w:p w:rsidR="001F6F50" w:rsidRDefault="00E83FC0" w:rsidP="00276F21">
      <w:pPr>
        <w:spacing w:line="240" w:lineRule="auto"/>
        <w:jc w:val="both"/>
        <w:rPr>
          <w:rFonts w:ascii="Times New Roman" w:hAnsi="Times New Roman" w:cs="Times New Roman"/>
          <w:sz w:val="24"/>
          <w:szCs w:val="24"/>
          <w:lang w:val="en-US"/>
        </w:rPr>
      </w:pPr>
      <w:r w:rsidRPr="00332D83">
        <w:rPr>
          <w:rFonts w:ascii="Times New Roman" w:hAnsi="Times New Roman" w:cs="Times New Roman"/>
          <w:sz w:val="24"/>
          <w:szCs w:val="24"/>
        </w:rPr>
        <w:t>Entretanto, todas essas medidas tinham consequências indesejáveis sobre as políticas interna e externa</w:t>
      </w:r>
      <w:r w:rsidR="003B2B2B" w:rsidRPr="00332D83">
        <w:rPr>
          <w:rFonts w:ascii="Times New Roman" w:hAnsi="Times New Roman" w:cs="Times New Roman"/>
          <w:sz w:val="24"/>
          <w:szCs w:val="24"/>
        </w:rPr>
        <w:t>, o</w:t>
      </w:r>
      <w:r w:rsidRPr="00332D83">
        <w:rPr>
          <w:rFonts w:ascii="Times New Roman" w:hAnsi="Times New Roman" w:cs="Times New Roman"/>
          <w:sz w:val="24"/>
          <w:szCs w:val="24"/>
        </w:rPr>
        <w:t xml:space="preserve"> </w:t>
      </w:r>
      <w:r w:rsidR="003B2B2B" w:rsidRPr="00332D83">
        <w:rPr>
          <w:rFonts w:ascii="Times New Roman" w:hAnsi="Times New Roman" w:cs="Times New Roman"/>
          <w:sz w:val="24"/>
          <w:szCs w:val="24"/>
        </w:rPr>
        <w:t xml:space="preserve">que fez com que </w:t>
      </w:r>
      <w:r w:rsidRPr="00332D83">
        <w:rPr>
          <w:rFonts w:ascii="Times New Roman" w:hAnsi="Times New Roman" w:cs="Times New Roman"/>
          <w:sz w:val="24"/>
          <w:szCs w:val="24"/>
        </w:rPr>
        <w:t xml:space="preserve">os presidentes americanos não </w:t>
      </w:r>
      <w:r w:rsidR="003B2B2B" w:rsidRPr="00332D83">
        <w:rPr>
          <w:rFonts w:ascii="Times New Roman" w:hAnsi="Times New Roman" w:cs="Times New Roman"/>
          <w:sz w:val="24"/>
          <w:szCs w:val="24"/>
        </w:rPr>
        <w:t>estivessem</w:t>
      </w:r>
      <w:r w:rsidRPr="00332D83">
        <w:rPr>
          <w:rFonts w:ascii="Times New Roman" w:hAnsi="Times New Roman" w:cs="Times New Roman"/>
          <w:sz w:val="24"/>
          <w:szCs w:val="24"/>
        </w:rPr>
        <w:t xml:space="preserve"> interessados em </w:t>
      </w:r>
      <w:r w:rsidR="003B2B2B" w:rsidRPr="00332D83">
        <w:rPr>
          <w:rFonts w:ascii="Times New Roman" w:hAnsi="Times New Roman" w:cs="Times New Roman"/>
          <w:sz w:val="24"/>
          <w:szCs w:val="24"/>
        </w:rPr>
        <w:t>arcar com esse preço.</w:t>
      </w:r>
      <w:r w:rsidR="001F0E99" w:rsidRPr="00332D83">
        <w:rPr>
          <w:rFonts w:ascii="Times New Roman" w:hAnsi="Times New Roman" w:cs="Times New Roman"/>
          <w:sz w:val="24"/>
          <w:szCs w:val="24"/>
        </w:rPr>
        <w:t xml:space="preserve"> </w:t>
      </w:r>
      <w:r w:rsidRPr="00332D83">
        <w:rPr>
          <w:rFonts w:ascii="Times New Roman" w:hAnsi="Times New Roman" w:cs="Times New Roman"/>
          <w:sz w:val="24"/>
          <w:szCs w:val="24"/>
          <w:lang w:val="en-US"/>
        </w:rPr>
        <w:t xml:space="preserve">Paul </w:t>
      </w:r>
      <w:r w:rsidR="001F6F50">
        <w:rPr>
          <w:rFonts w:ascii="Times New Roman" w:hAnsi="Times New Roman" w:cs="Times New Roman"/>
          <w:sz w:val="24"/>
          <w:szCs w:val="24"/>
          <w:lang w:val="en-US"/>
        </w:rPr>
        <w:t>Volcker</w:t>
      </w:r>
      <w:r w:rsidRPr="00332D83">
        <w:rPr>
          <w:rFonts w:ascii="Times New Roman" w:hAnsi="Times New Roman" w:cs="Times New Roman"/>
          <w:sz w:val="24"/>
          <w:szCs w:val="24"/>
          <w:lang w:val="en-US"/>
        </w:rPr>
        <w:t xml:space="preserve">, que </w:t>
      </w:r>
      <w:proofErr w:type="spellStart"/>
      <w:r w:rsidRPr="00332D83">
        <w:rPr>
          <w:rFonts w:ascii="Times New Roman" w:hAnsi="Times New Roman" w:cs="Times New Roman"/>
          <w:sz w:val="24"/>
          <w:szCs w:val="24"/>
          <w:lang w:val="en-US"/>
        </w:rPr>
        <w:t>era</w:t>
      </w:r>
      <w:proofErr w:type="spellEnd"/>
      <w:r w:rsidRPr="00332D83">
        <w:rPr>
          <w:rFonts w:ascii="Times New Roman" w:hAnsi="Times New Roman" w:cs="Times New Roman"/>
          <w:sz w:val="24"/>
          <w:szCs w:val="24"/>
          <w:lang w:val="en-US"/>
        </w:rPr>
        <w:t xml:space="preserve"> Sub-</w:t>
      </w:r>
      <w:proofErr w:type="spellStart"/>
      <w:r w:rsidRPr="00332D83">
        <w:rPr>
          <w:rFonts w:ascii="Times New Roman" w:hAnsi="Times New Roman" w:cs="Times New Roman"/>
          <w:sz w:val="24"/>
          <w:szCs w:val="24"/>
          <w:lang w:val="en-US"/>
        </w:rPr>
        <w:t>Secretário</w:t>
      </w:r>
      <w:proofErr w:type="spellEnd"/>
      <w:r w:rsidRPr="00332D83">
        <w:rPr>
          <w:rFonts w:ascii="Times New Roman" w:hAnsi="Times New Roman" w:cs="Times New Roman"/>
          <w:sz w:val="24"/>
          <w:szCs w:val="24"/>
          <w:lang w:val="en-US"/>
        </w:rPr>
        <w:t xml:space="preserve"> </w:t>
      </w:r>
      <w:proofErr w:type="spellStart"/>
      <w:r w:rsidRPr="00332D83">
        <w:rPr>
          <w:rFonts w:ascii="Times New Roman" w:hAnsi="Times New Roman" w:cs="Times New Roman"/>
          <w:sz w:val="24"/>
          <w:szCs w:val="24"/>
          <w:lang w:val="en-US"/>
        </w:rPr>
        <w:t>Internacional</w:t>
      </w:r>
      <w:proofErr w:type="spellEnd"/>
      <w:r w:rsidRPr="00332D83">
        <w:rPr>
          <w:rFonts w:ascii="Times New Roman" w:hAnsi="Times New Roman" w:cs="Times New Roman"/>
          <w:sz w:val="24"/>
          <w:szCs w:val="24"/>
          <w:lang w:val="en-US"/>
        </w:rPr>
        <w:t xml:space="preserve"> do </w:t>
      </w:r>
      <w:proofErr w:type="spellStart"/>
      <w:r w:rsidRPr="00332D83">
        <w:rPr>
          <w:rFonts w:ascii="Times New Roman" w:hAnsi="Times New Roman" w:cs="Times New Roman"/>
          <w:sz w:val="24"/>
          <w:szCs w:val="24"/>
          <w:lang w:val="en-US"/>
        </w:rPr>
        <w:t>Tesouro</w:t>
      </w:r>
      <w:proofErr w:type="spellEnd"/>
      <w:r w:rsidRPr="00332D83">
        <w:rPr>
          <w:rFonts w:ascii="Times New Roman" w:hAnsi="Times New Roman" w:cs="Times New Roman"/>
          <w:sz w:val="24"/>
          <w:szCs w:val="24"/>
          <w:lang w:val="en-US"/>
        </w:rPr>
        <w:t xml:space="preserve"> </w:t>
      </w:r>
      <w:proofErr w:type="spellStart"/>
      <w:r w:rsidRPr="00332D83">
        <w:rPr>
          <w:rFonts w:ascii="Times New Roman" w:hAnsi="Times New Roman" w:cs="Times New Roman"/>
          <w:sz w:val="24"/>
          <w:szCs w:val="24"/>
          <w:lang w:val="en-US"/>
        </w:rPr>
        <w:t>nesse</w:t>
      </w:r>
      <w:proofErr w:type="spellEnd"/>
      <w:r w:rsidRPr="00332D83">
        <w:rPr>
          <w:rFonts w:ascii="Times New Roman" w:hAnsi="Times New Roman" w:cs="Times New Roman"/>
          <w:sz w:val="24"/>
          <w:szCs w:val="24"/>
          <w:lang w:val="en-US"/>
        </w:rPr>
        <w:t xml:space="preserve"> </w:t>
      </w:r>
      <w:proofErr w:type="spellStart"/>
      <w:r w:rsidR="006348EF" w:rsidRPr="00332D83">
        <w:rPr>
          <w:rFonts w:ascii="Times New Roman" w:hAnsi="Times New Roman" w:cs="Times New Roman"/>
          <w:sz w:val="24"/>
          <w:szCs w:val="24"/>
          <w:lang w:val="en-US"/>
        </w:rPr>
        <w:t>período</w:t>
      </w:r>
      <w:proofErr w:type="spellEnd"/>
      <w:r w:rsidR="003B2B2B" w:rsidRPr="00332D83">
        <w:rPr>
          <w:rFonts w:ascii="Times New Roman" w:hAnsi="Times New Roman" w:cs="Times New Roman"/>
          <w:sz w:val="24"/>
          <w:szCs w:val="24"/>
          <w:lang w:val="en-US"/>
        </w:rPr>
        <w:t>,</w:t>
      </w:r>
      <w:r w:rsidRPr="00332D83">
        <w:rPr>
          <w:rFonts w:ascii="Times New Roman" w:hAnsi="Times New Roman" w:cs="Times New Roman"/>
          <w:sz w:val="24"/>
          <w:szCs w:val="24"/>
          <w:lang w:val="en-US"/>
        </w:rPr>
        <w:t xml:space="preserve"> </w:t>
      </w:r>
      <w:proofErr w:type="spellStart"/>
      <w:r w:rsidRPr="00332D83">
        <w:rPr>
          <w:rFonts w:ascii="Times New Roman" w:hAnsi="Times New Roman" w:cs="Times New Roman"/>
          <w:sz w:val="24"/>
          <w:szCs w:val="24"/>
          <w:lang w:val="en-US"/>
        </w:rPr>
        <w:t>relembr</w:t>
      </w:r>
      <w:r w:rsidR="006348EF" w:rsidRPr="00332D83">
        <w:rPr>
          <w:rFonts w:ascii="Times New Roman" w:hAnsi="Times New Roman" w:cs="Times New Roman"/>
          <w:sz w:val="24"/>
          <w:szCs w:val="24"/>
          <w:lang w:val="en-US"/>
        </w:rPr>
        <w:t>ou</w:t>
      </w:r>
      <w:proofErr w:type="spellEnd"/>
      <w:r w:rsidRPr="00332D83">
        <w:rPr>
          <w:rFonts w:ascii="Times New Roman" w:hAnsi="Times New Roman" w:cs="Times New Roman"/>
          <w:sz w:val="24"/>
          <w:szCs w:val="24"/>
          <w:lang w:val="en-US"/>
        </w:rPr>
        <w:t xml:space="preserve"> </w:t>
      </w:r>
      <w:proofErr w:type="spellStart"/>
      <w:r w:rsidRPr="00332D83">
        <w:rPr>
          <w:rFonts w:ascii="Times New Roman" w:hAnsi="Times New Roman" w:cs="Times New Roman"/>
          <w:sz w:val="24"/>
          <w:szCs w:val="24"/>
          <w:lang w:val="en-US"/>
        </w:rPr>
        <w:t>em</w:t>
      </w:r>
      <w:proofErr w:type="spellEnd"/>
      <w:r w:rsidRPr="00332D83">
        <w:rPr>
          <w:rFonts w:ascii="Times New Roman" w:hAnsi="Times New Roman" w:cs="Times New Roman"/>
          <w:sz w:val="24"/>
          <w:szCs w:val="24"/>
          <w:lang w:val="en-US"/>
        </w:rPr>
        <w:t xml:space="preserve"> </w:t>
      </w:r>
      <w:proofErr w:type="spellStart"/>
      <w:r w:rsidRPr="00332D83">
        <w:rPr>
          <w:rFonts w:ascii="Times New Roman" w:hAnsi="Times New Roman" w:cs="Times New Roman"/>
          <w:sz w:val="24"/>
          <w:szCs w:val="24"/>
          <w:lang w:val="en-US"/>
        </w:rPr>
        <w:t>suas</w:t>
      </w:r>
      <w:proofErr w:type="spellEnd"/>
      <w:r w:rsidRPr="00332D83">
        <w:rPr>
          <w:rFonts w:ascii="Times New Roman" w:hAnsi="Times New Roman" w:cs="Times New Roman"/>
          <w:sz w:val="24"/>
          <w:szCs w:val="24"/>
          <w:lang w:val="en-US"/>
        </w:rPr>
        <w:t xml:space="preserve"> </w:t>
      </w:r>
      <w:proofErr w:type="spellStart"/>
      <w:r w:rsidRPr="00332D83">
        <w:rPr>
          <w:rFonts w:ascii="Times New Roman" w:hAnsi="Times New Roman" w:cs="Times New Roman"/>
          <w:sz w:val="24"/>
          <w:szCs w:val="24"/>
          <w:lang w:val="en-US"/>
        </w:rPr>
        <w:t>memórias</w:t>
      </w:r>
      <w:proofErr w:type="spellEnd"/>
      <w:r w:rsidRPr="00332D83">
        <w:rPr>
          <w:rFonts w:ascii="Times New Roman" w:hAnsi="Times New Roman" w:cs="Times New Roman"/>
          <w:sz w:val="24"/>
          <w:szCs w:val="24"/>
          <w:lang w:val="en-US"/>
        </w:rPr>
        <w:t xml:space="preserve"> que: “</w:t>
      </w:r>
      <w:r w:rsidRPr="00332D83">
        <w:rPr>
          <w:rFonts w:ascii="Times New Roman" w:hAnsi="Times New Roman" w:cs="Times New Roman"/>
          <w:i/>
          <w:sz w:val="24"/>
          <w:szCs w:val="24"/>
          <w:lang w:val="en-US"/>
        </w:rPr>
        <w:t xml:space="preserve">Presidents – certainly Johnson and Nixon – did not want to hear that their options were limited by the weakness of the dollar. Consider the issue of maintaining our troops in Germany and Japan. </w:t>
      </w:r>
      <w:r w:rsidRPr="001F6F50">
        <w:rPr>
          <w:rFonts w:ascii="Times New Roman" w:hAnsi="Times New Roman" w:cs="Times New Roman"/>
          <w:i/>
          <w:sz w:val="24"/>
          <w:szCs w:val="24"/>
          <w:lang w:val="en-US"/>
        </w:rPr>
        <w:t xml:space="preserve">It would be a gross simplification to boil all </w:t>
      </w:r>
      <w:r w:rsidRPr="001F6F50">
        <w:rPr>
          <w:rFonts w:ascii="Times New Roman" w:hAnsi="Times New Roman" w:cs="Times New Roman"/>
          <w:sz w:val="24"/>
          <w:szCs w:val="24"/>
          <w:lang w:val="en-US"/>
        </w:rPr>
        <w:t xml:space="preserve">that down </w:t>
      </w:r>
      <w:r w:rsidRPr="001F6F50">
        <w:rPr>
          <w:rFonts w:ascii="Times New Roman" w:hAnsi="Times New Roman" w:cs="Times New Roman"/>
          <w:i/>
          <w:sz w:val="24"/>
          <w:szCs w:val="24"/>
          <w:lang w:val="en-US"/>
        </w:rPr>
        <w:t>to a calculation of how many U.S. divisions abroad were worth how much loss of gold”</w:t>
      </w:r>
      <w:r w:rsidR="00436A69" w:rsidRPr="001F6F50">
        <w:rPr>
          <w:rFonts w:ascii="Times New Roman" w:hAnsi="Times New Roman" w:cs="Times New Roman"/>
          <w:sz w:val="24"/>
          <w:szCs w:val="24"/>
          <w:lang w:val="en-US"/>
        </w:rPr>
        <w:t xml:space="preserve"> </w:t>
      </w:r>
      <w:r w:rsidR="001F6F50">
        <w:rPr>
          <w:rFonts w:ascii="Times New Roman" w:hAnsi="Times New Roman" w:cs="Times New Roman"/>
          <w:sz w:val="24"/>
          <w:szCs w:val="24"/>
          <w:lang w:val="en-US"/>
        </w:rPr>
        <w:t>(</w:t>
      </w:r>
      <w:r w:rsidR="001F6F50" w:rsidRPr="001F6F50">
        <w:rPr>
          <w:rFonts w:ascii="Times New Roman" w:hAnsi="Times New Roman" w:cs="Times New Roman"/>
          <w:sz w:val="24"/>
          <w:szCs w:val="24"/>
          <w:lang w:val="en-US"/>
        </w:rPr>
        <w:t>VOLCKE</w:t>
      </w:r>
      <w:r w:rsidR="001F6F50">
        <w:rPr>
          <w:rFonts w:ascii="Times New Roman" w:hAnsi="Times New Roman" w:cs="Times New Roman"/>
          <w:sz w:val="24"/>
          <w:szCs w:val="24"/>
          <w:lang w:val="en-US"/>
        </w:rPr>
        <w:t>R</w:t>
      </w:r>
      <w:r w:rsidR="00215211">
        <w:rPr>
          <w:rFonts w:ascii="Times New Roman" w:hAnsi="Times New Roman" w:cs="Times New Roman"/>
          <w:sz w:val="24"/>
          <w:szCs w:val="24"/>
          <w:lang w:val="en-US"/>
        </w:rPr>
        <w:t xml:space="preserve"> e GYOTEN,</w:t>
      </w:r>
      <w:r w:rsidR="001F6F50">
        <w:rPr>
          <w:rFonts w:ascii="Times New Roman" w:hAnsi="Times New Roman" w:cs="Times New Roman"/>
          <w:sz w:val="24"/>
          <w:szCs w:val="24"/>
          <w:lang w:val="en-US"/>
        </w:rPr>
        <w:t xml:space="preserve"> </w:t>
      </w:r>
      <w:r w:rsidR="001F6F50" w:rsidRPr="001F6F50">
        <w:rPr>
          <w:rFonts w:ascii="Times New Roman" w:hAnsi="Times New Roman" w:cs="Times New Roman"/>
          <w:sz w:val="24"/>
          <w:szCs w:val="24"/>
          <w:lang w:val="en-US"/>
        </w:rPr>
        <w:t>1992:61).</w:t>
      </w:r>
    </w:p>
    <w:p w:rsidR="00055161" w:rsidRPr="00332D83" w:rsidRDefault="001F6F50" w:rsidP="00276F21">
      <w:pPr>
        <w:spacing w:line="240" w:lineRule="auto"/>
        <w:jc w:val="both"/>
        <w:rPr>
          <w:rFonts w:ascii="Times New Roman" w:hAnsi="Times New Roman" w:cs="Times New Roman"/>
          <w:sz w:val="24"/>
          <w:szCs w:val="24"/>
        </w:rPr>
      </w:pPr>
      <w:r w:rsidRPr="001F6F50">
        <w:rPr>
          <w:rFonts w:ascii="Times New Roman" w:hAnsi="Times New Roman" w:cs="Times New Roman"/>
          <w:sz w:val="24"/>
          <w:szCs w:val="24"/>
          <w:lang w:val="en-US"/>
        </w:rPr>
        <w:t xml:space="preserve"> </w:t>
      </w:r>
      <w:r w:rsidR="00E83FC0" w:rsidRPr="00332D83">
        <w:rPr>
          <w:rFonts w:ascii="Times New Roman" w:hAnsi="Times New Roman" w:cs="Times New Roman"/>
          <w:sz w:val="24"/>
          <w:szCs w:val="24"/>
        </w:rPr>
        <w:t>Além disso, a dependência de uma ação concertada de forma mais permanente com outros países para apoiar a relevância da moeda americana no mercado internacional tinha um custo elevado para os Estados Unidos. C</w:t>
      </w:r>
      <w:r w:rsidR="00017BA7">
        <w:rPr>
          <w:rFonts w:ascii="Times New Roman" w:hAnsi="Times New Roman" w:cs="Times New Roman"/>
          <w:sz w:val="24"/>
          <w:szCs w:val="24"/>
        </w:rPr>
        <w:t xml:space="preserve">omo apontou </w:t>
      </w:r>
      <w:proofErr w:type="spellStart"/>
      <w:r w:rsidR="00017BA7">
        <w:rPr>
          <w:rFonts w:ascii="Times New Roman" w:hAnsi="Times New Roman" w:cs="Times New Roman"/>
          <w:sz w:val="24"/>
          <w:szCs w:val="24"/>
        </w:rPr>
        <w:t>Strange</w:t>
      </w:r>
      <w:proofErr w:type="spellEnd"/>
      <w:r w:rsidR="00E83FC0" w:rsidRPr="00332D83">
        <w:rPr>
          <w:rFonts w:ascii="Times New Roman" w:hAnsi="Times New Roman" w:cs="Times New Roman"/>
          <w:sz w:val="24"/>
          <w:szCs w:val="24"/>
        </w:rPr>
        <w:t>,</w:t>
      </w:r>
      <w:r w:rsidR="0017521B" w:rsidRPr="00332D83">
        <w:rPr>
          <w:rFonts w:ascii="Times New Roman" w:hAnsi="Times New Roman" w:cs="Times New Roman"/>
          <w:sz w:val="24"/>
          <w:szCs w:val="24"/>
        </w:rPr>
        <w:t xml:space="preserve"> </w:t>
      </w:r>
      <w:r w:rsidR="001F0E99" w:rsidRPr="00332D83">
        <w:rPr>
          <w:rFonts w:ascii="Times New Roman" w:hAnsi="Times New Roman" w:cs="Times New Roman"/>
          <w:sz w:val="24"/>
          <w:szCs w:val="24"/>
        </w:rPr>
        <w:t>s</w:t>
      </w:r>
      <w:r w:rsidR="00E83FC0" w:rsidRPr="00332D83">
        <w:rPr>
          <w:rFonts w:ascii="Times New Roman" w:hAnsi="Times New Roman" w:cs="Times New Roman"/>
          <w:sz w:val="24"/>
          <w:szCs w:val="24"/>
        </w:rPr>
        <w:t xml:space="preserve">eria, na prática, como decretar o fim da hegemonia absoluta do dólar e deixar os EUA expostos a pressões dos países que cooperassem na sustentação da sua moeda. Os franceses </w:t>
      </w:r>
      <w:r w:rsidR="000B0405" w:rsidRPr="00332D83">
        <w:rPr>
          <w:rFonts w:ascii="Times New Roman" w:hAnsi="Times New Roman" w:cs="Times New Roman"/>
          <w:sz w:val="24"/>
          <w:szCs w:val="24"/>
        </w:rPr>
        <w:t>chegaram a trilhar</w:t>
      </w:r>
      <w:r w:rsidR="00E83FC0" w:rsidRPr="00332D83">
        <w:rPr>
          <w:rFonts w:ascii="Times New Roman" w:hAnsi="Times New Roman" w:cs="Times New Roman"/>
          <w:sz w:val="24"/>
          <w:szCs w:val="24"/>
        </w:rPr>
        <w:t xml:space="preserve"> esse caminho</w:t>
      </w:r>
      <w:r w:rsidR="001F0E99" w:rsidRPr="00332D83">
        <w:rPr>
          <w:rFonts w:ascii="Times New Roman" w:hAnsi="Times New Roman" w:cs="Times New Roman"/>
          <w:sz w:val="24"/>
          <w:szCs w:val="24"/>
        </w:rPr>
        <w:t xml:space="preserve">. </w:t>
      </w:r>
      <w:r w:rsidR="00017BA7">
        <w:rPr>
          <w:rFonts w:ascii="Times New Roman" w:hAnsi="Times New Roman" w:cs="Times New Roman"/>
          <w:sz w:val="24"/>
          <w:szCs w:val="24"/>
        </w:rPr>
        <w:t xml:space="preserve">(STRANGE, 1976). </w:t>
      </w:r>
      <w:r w:rsidR="001F0E99" w:rsidRPr="00332D83">
        <w:rPr>
          <w:rFonts w:ascii="Times New Roman" w:hAnsi="Times New Roman" w:cs="Times New Roman"/>
          <w:sz w:val="24"/>
          <w:szCs w:val="24"/>
        </w:rPr>
        <w:t xml:space="preserve">Nos anos 1960, </w:t>
      </w:r>
      <w:r w:rsidR="00055161" w:rsidRPr="00332D83">
        <w:rPr>
          <w:rFonts w:ascii="Times New Roman" w:hAnsi="Times New Roman" w:cs="Times New Roman"/>
          <w:sz w:val="24"/>
          <w:szCs w:val="24"/>
        </w:rPr>
        <w:t xml:space="preserve">aceleraram a conversão das suas reservas </w:t>
      </w:r>
      <w:r w:rsidR="00026EB8" w:rsidRPr="00332D83">
        <w:rPr>
          <w:rFonts w:ascii="Times New Roman" w:hAnsi="Times New Roman" w:cs="Times New Roman"/>
          <w:sz w:val="24"/>
          <w:szCs w:val="24"/>
        </w:rPr>
        <w:t>de</w:t>
      </w:r>
      <w:r w:rsidR="00055161" w:rsidRPr="00332D83">
        <w:rPr>
          <w:rFonts w:ascii="Times New Roman" w:hAnsi="Times New Roman" w:cs="Times New Roman"/>
          <w:sz w:val="24"/>
          <w:szCs w:val="24"/>
        </w:rPr>
        <w:t xml:space="preserve"> dólar</w:t>
      </w:r>
      <w:r w:rsidR="00026EB8" w:rsidRPr="00332D83">
        <w:rPr>
          <w:rFonts w:ascii="Times New Roman" w:hAnsi="Times New Roman" w:cs="Times New Roman"/>
          <w:sz w:val="24"/>
          <w:szCs w:val="24"/>
        </w:rPr>
        <w:t>es</w:t>
      </w:r>
      <w:r w:rsidR="00055161" w:rsidRPr="00332D83">
        <w:rPr>
          <w:rFonts w:ascii="Times New Roman" w:hAnsi="Times New Roman" w:cs="Times New Roman"/>
          <w:sz w:val="24"/>
          <w:szCs w:val="24"/>
        </w:rPr>
        <w:t xml:space="preserve"> para ouro, inclusive transportando os lingotes de Nova Iorque para Paris, o que não era a prática normal. Ademais, criticaram abertamente o</w:t>
      </w:r>
      <w:r w:rsidR="00026EB8" w:rsidRPr="00332D83">
        <w:rPr>
          <w:rFonts w:ascii="Times New Roman" w:hAnsi="Times New Roman" w:cs="Times New Roman"/>
          <w:sz w:val="24"/>
          <w:szCs w:val="24"/>
        </w:rPr>
        <w:t xml:space="preserve"> que chamaram de “</w:t>
      </w:r>
      <w:r w:rsidR="00055161" w:rsidRPr="00332D83">
        <w:rPr>
          <w:rFonts w:ascii="Times New Roman" w:hAnsi="Times New Roman" w:cs="Times New Roman"/>
          <w:sz w:val="24"/>
          <w:szCs w:val="24"/>
        </w:rPr>
        <w:t>privilégio exorbitante</w:t>
      </w:r>
      <w:r w:rsidR="00026EB8" w:rsidRPr="00332D83">
        <w:rPr>
          <w:rFonts w:ascii="Times New Roman" w:hAnsi="Times New Roman" w:cs="Times New Roman"/>
          <w:sz w:val="24"/>
          <w:szCs w:val="24"/>
        </w:rPr>
        <w:t>” americano, que se traduziria nas vantagens que o sistema de BW daria aos EUA em termos de manutenção de níveis de vida elevados para sua população e no subsídio a suas multinacionais à custo de seus parceiros externos.</w:t>
      </w:r>
    </w:p>
    <w:p w:rsidR="00436A69" w:rsidRPr="00415AC4" w:rsidRDefault="006348EF"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A</w:t>
      </w:r>
      <w:r w:rsidR="00613191" w:rsidRPr="00332D83">
        <w:rPr>
          <w:rFonts w:ascii="Times New Roman" w:hAnsi="Times New Roman" w:cs="Times New Roman"/>
          <w:sz w:val="24"/>
          <w:szCs w:val="24"/>
        </w:rPr>
        <w:t xml:space="preserve"> </w:t>
      </w:r>
      <w:r w:rsidR="00620920" w:rsidRPr="00332D83">
        <w:rPr>
          <w:rFonts w:ascii="Times New Roman" w:hAnsi="Times New Roman" w:cs="Times New Roman"/>
          <w:sz w:val="24"/>
          <w:szCs w:val="24"/>
        </w:rPr>
        <w:t>decisão</w:t>
      </w:r>
      <w:r w:rsidR="00613191" w:rsidRPr="00332D83">
        <w:rPr>
          <w:rFonts w:ascii="Times New Roman" w:hAnsi="Times New Roman" w:cs="Times New Roman"/>
          <w:sz w:val="24"/>
          <w:szCs w:val="24"/>
        </w:rPr>
        <w:t xml:space="preserve"> americana </w:t>
      </w:r>
      <w:r w:rsidRPr="00332D83">
        <w:rPr>
          <w:rFonts w:ascii="Times New Roman" w:hAnsi="Times New Roman" w:cs="Times New Roman"/>
          <w:sz w:val="24"/>
          <w:szCs w:val="24"/>
        </w:rPr>
        <w:t xml:space="preserve">de 1971 </w:t>
      </w:r>
      <w:r w:rsidR="00613191" w:rsidRPr="00332D83">
        <w:rPr>
          <w:rFonts w:ascii="Times New Roman" w:hAnsi="Times New Roman" w:cs="Times New Roman"/>
          <w:sz w:val="24"/>
          <w:szCs w:val="24"/>
        </w:rPr>
        <w:t>foi o passo final</w:t>
      </w:r>
      <w:r w:rsidR="0065659B" w:rsidRPr="00332D83">
        <w:rPr>
          <w:rFonts w:ascii="Times New Roman" w:hAnsi="Times New Roman" w:cs="Times New Roman"/>
          <w:sz w:val="24"/>
          <w:szCs w:val="24"/>
        </w:rPr>
        <w:t xml:space="preserve"> </w:t>
      </w:r>
      <w:r w:rsidR="00F52060" w:rsidRPr="00332D83">
        <w:rPr>
          <w:rFonts w:ascii="Times New Roman" w:hAnsi="Times New Roman" w:cs="Times New Roman"/>
          <w:sz w:val="24"/>
          <w:szCs w:val="24"/>
        </w:rPr>
        <w:t xml:space="preserve">de uma estratégia </w:t>
      </w:r>
      <w:r w:rsidR="00331FC0" w:rsidRPr="00332D83">
        <w:rPr>
          <w:rFonts w:ascii="Times New Roman" w:hAnsi="Times New Roman" w:cs="Times New Roman"/>
          <w:sz w:val="24"/>
          <w:szCs w:val="24"/>
        </w:rPr>
        <w:t>que</w:t>
      </w:r>
      <w:r w:rsidR="00616732" w:rsidRPr="00332D83">
        <w:rPr>
          <w:rFonts w:ascii="Times New Roman" w:hAnsi="Times New Roman" w:cs="Times New Roman"/>
          <w:sz w:val="24"/>
          <w:szCs w:val="24"/>
        </w:rPr>
        <w:t xml:space="preserve"> foi primeiramente enuncia</w:t>
      </w:r>
      <w:r w:rsidR="00331FC0" w:rsidRPr="00332D83">
        <w:rPr>
          <w:rFonts w:ascii="Times New Roman" w:hAnsi="Times New Roman" w:cs="Times New Roman"/>
          <w:sz w:val="24"/>
          <w:szCs w:val="24"/>
        </w:rPr>
        <w:t>da</w:t>
      </w:r>
      <w:r w:rsidR="00616732" w:rsidRPr="00332D83">
        <w:rPr>
          <w:rFonts w:ascii="Times New Roman" w:hAnsi="Times New Roman" w:cs="Times New Roman"/>
          <w:sz w:val="24"/>
          <w:szCs w:val="24"/>
        </w:rPr>
        <w:t xml:space="preserve"> </w:t>
      </w:r>
      <w:r w:rsidR="002A72E9" w:rsidRPr="00332D83">
        <w:rPr>
          <w:rFonts w:ascii="Times New Roman" w:hAnsi="Times New Roman" w:cs="Times New Roman"/>
          <w:sz w:val="24"/>
          <w:szCs w:val="24"/>
        </w:rPr>
        <w:t xml:space="preserve">em 1966. </w:t>
      </w:r>
      <w:r w:rsidR="002A72E9" w:rsidRPr="00332D83">
        <w:rPr>
          <w:rFonts w:ascii="Times New Roman" w:hAnsi="Times New Roman" w:cs="Times New Roman"/>
          <w:sz w:val="24"/>
          <w:szCs w:val="24"/>
          <w:lang w:val="en-US"/>
        </w:rPr>
        <w:t>(</w:t>
      </w:r>
      <w:r w:rsidR="00215211" w:rsidRPr="00332D83">
        <w:rPr>
          <w:rFonts w:ascii="Times New Roman" w:hAnsi="Times New Roman" w:cs="Times New Roman"/>
          <w:sz w:val="24"/>
          <w:szCs w:val="24"/>
          <w:lang w:val="en-US"/>
        </w:rPr>
        <w:t>KIRSCHNER</w:t>
      </w:r>
      <w:r w:rsidR="002A72E9" w:rsidRPr="00332D83">
        <w:rPr>
          <w:rFonts w:ascii="Times New Roman" w:hAnsi="Times New Roman" w:cs="Times New Roman"/>
          <w:sz w:val="24"/>
          <w:szCs w:val="24"/>
          <w:lang w:val="en-US"/>
        </w:rPr>
        <w:t xml:space="preserve">, 1995). </w:t>
      </w:r>
      <w:r w:rsidR="005014D1" w:rsidRPr="00332D83">
        <w:rPr>
          <w:rFonts w:ascii="Times New Roman" w:hAnsi="Times New Roman" w:cs="Times New Roman"/>
          <w:sz w:val="24"/>
          <w:szCs w:val="24"/>
          <w:lang w:val="en-US"/>
        </w:rPr>
        <w:t>N</w:t>
      </w:r>
      <w:r w:rsidR="002A72E9" w:rsidRPr="00332D83">
        <w:rPr>
          <w:rFonts w:ascii="Times New Roman" w:hAnsi="Times New Roman" w:cs="Times New Roman"/>
          <w:sz w:val="24"/>
          <w:szCs w:val="24"/>
          <w:lang w:val="en-US"/>
        </w:rPr>
        <w:t xml:space="preserve">o </w:t>
      </w:r>
      <w:proofErr w:type="spellStart"/>
      <w:r w:rsidR="005014D1" w:rsidRPr="00332D83">
        <w:rPr>
          <w:rFonts w:ascii="Times New Roman" w:hAnsi="Times New Roman" w:cs="Times New Roman"/>
          <w:sz w:val="24"/>
          <w:szCs w:val="24"/>
          <w:lang w:val="en-US"/>
        </w:rPr>
        <w:t>ano</w:t>
      </w:r>
      <w:proofErr w:type="spellEnd"/>
      <w:r w:rsidR="002A72E9" w:rsidRPr="00332D83">
        <w:rPr>
          <w:rFonts w:ascii="Times New Roman" w:hAnsi="Times New Roman" w:cs="Times New Roman"/>
          <w:sz w:val="24"/>
          <w:szCs w:val="24"/>
          <w:lang w:val="en-US"/>
        </w:rPr>
        <w:t xml:space="preserve"> </w:t>
      </w:r>
      <w:proofErr w:type="spellStart"/>
      <w:r w:rsidR="002A72E9" w:rsidRPr="00332D83">
        <w:rPr>
          <w:rFonts w:ascii="Times New Roman" w:hAnsi="Times New Roman" w:cs="Times New Roman"/>
          <w:sz w:val="24"/>
          <w:szCs w:val="24"/>
          <w:lang w:val="en-US"/>
        </w:rPr>
        <w:t>seguinte</w:t>
      </w:r>
      <w:proofErr w:type="spellEnd"/>
      <w:r w:rsidR="005014D1" w:rsidRPr="00332D83">
        <w:rPr>
          <w:rFonts w:ascii="Times New Roman" w:hAnsi="Times New Roman" w:cs="Times New Roman"/>
          <w:sz w:val="24"/>
          <w:szCs w:val="24"/>
          <w:lang w:val="en-US"/>
        </w:rPr>
        <w:t xml:space="preserve">, </w:t>
      </w:r>
      <w:proofErr w:type="spellStart"/>
      <w:r w:rsidR="005014D1" w:rsidRPr="00332D83">
        <w:rPr>
          <w:rFonts w:ascii="Times New Roman" w:hAnsi="Times New Roman" w:cs="Times New Roman"/>
          <w:sz w:val="24"/>
          <w:szCs w:val="24"/>
          <w:lang w:val="en-US"/>
        </w:rPr>
        <w:t>Kindleberger</w:t>
      </w:r>
      <w:proofErr w:type="spellEnd"/>
      <w:r w:rsidR="005014D1" w:rsidRPr="00332D83">
        <w:rPr>
          <w:rFonts w:ascii="Times New Roman" w:hAnsi="Times New Roman" w:cs="Times New Roman"/>
          <w:sz w:val="24"/>
          <w:szCs w:val="24"/>
          <w:lang w:val="en-US"/>
        </w:rPr>
        <w:t xml:space="preserve"> </w:t>
      </w:r>
      <w:proofErr w:type="spellStart"/>
      <w:r w:rsidR="005014D1" w:rsidRPr="00332D83">
        <w:rPr>
          <w:rFonts w:ascii="Times New Roman" w:hAnsi="Times New Roman" w:cs="Times New Roman"/>
          <w:sz w:val="24"/>
          <w:szCs w:val="24"/>
          <w:lang w:val="en-US"/>
        </w:rPr>
        <w:t>argument</w:t>
      </w:r>
      <w:r w:rsidR="002A72E9" w:rsidRPr="00332D83">
        <w:rPr>
          <w:rFonts w:ascii="Times New Roman" w:hAnsi="Times New Roman" w:cs="Times New Roman"/>
          <w:sz w:val="24"/>
          <w:szCs w:val="24"/>
          <w:lang w:val="en-US"/>
        </w:rPr>
        <w:t>ava</w:t>
      </w:r>
      <w:proofErr w:type="spellEnd"/>
      <w:r w:rsidR="002A72E9" w:rsidRPr="00332D83">
        <w:rPr>
          <w:rFonts w:ascii="Times New Roman" w:hAnsi="Times New Roman" w:cs="Times New Roman"/>
          <w:sz w:val="24"/>
          <w:szCs w:val="24"/>
          <w:lang w:val="en-US"/>
        </w:rPr>
        <w:t xml:space="preserve"> </w:t>
      </w:r>
      <w:r w:rsidR="005014D1" w:rsidRPr="00332D83">
        <w:rPr>
          <w:rFonts w:ascii="Times New Roman" w:hAnsi="Times New Roman" w:cs="Times New Roman"/>
          <w:sz w:val="24"/>
          <w:szCs w:val="24"/>
          <w:lang w:val="en-US"/>
        </w:rPr>
        <w:t>que</w:t>
      </w:r>
      <w:r w:rsidR="002A72E9" w:rsidRPr="00332D83">
        <w:rPr>
          <w:rFonts w:ascii="Times New Roman" w:hAnsi="Times New Roman" w:cs="Times New Roman"/>
          <w:sz w:val="24"/>
          <w:szCs w:val="24"/>
          <w:lang w:val="en-US"/>
        </w:rPr>
        <w:t xml:space="preserve"> </w:t>
      </w:r>
      <w:proofErr w:type="spellStart"/>
      <w:r w:rsidR="002A72E9" w:rsidRPr="00332D83">
        <w:rPr>
          <w:rFonts w:ascii="Times New Roman" w:hAnsi="Times New Roman" w:cs="Times New Roman"/>
          <w:sz w:val="24"/>
          <w:szCs w:val="24"/>
          <w:lang w:val="en-US"/>
        </w:rPr>
        <w:t>o</w:t>
      </w:r>
      <w:proofErr w:type="spellEnd"/>
      <w:r w:rsidR="002A72E9" w:rsidRPr="00332D83">
        <w:rPr>
          <w:rFonts w:ascii="Times New Roman" w:hAnsi="Times New Roman" w:cs="Times New Roman"/>
          <w:sz w:val="24"/>
          <w:szCs w:val="24"/>
          <w:lang w:val="en-US"/>
        </w:rPr>
        <w:t xml:space="preserve"> </w:t>
      </w:r>
      <w:proofErr w:type="spellStart"/>
      <w:r w:rsidR="002A72E9" w:rsidRPr="00332D83">
        <w:rPr>
          <w:rFonts w:ascii="Times New Roman" w:hAnsi="Times New Roman" w:cs="Times New Roman"/>
          <w:sz w:val="24"/>
          <w:szCs w:val="24"/>
          <w:lang w:val="en-US"/>
        </w:rPr>
        <w:t>padrão</w:t>
      </w:r>
      <w:proofErr w:type="spellEnd"/>
      <w:r w:rsidR="002A72E9" w:rsidRPr="00332D83">
        <w:rPr>
          <w:rFonts w:ascii="Times New Roman" w:hAnsi="Times New Roman" w:cs="Times New Roman"/>
          <w:sz w:val="24"/>
          <w:szCs w:val="24"/>
          <w:lang w:val="en-US"/>
        </w:rPr>
        <w:t xml:space="preserve"> </w:t>
      </w:r>
      <w:proofErr w:type="spellStart"/>
      <w:r w:rsidR="002A72E9" w:rsidRPr="00332D83">
        <w:rPr>
          <w:rFonts w:ascii="Times New Roman" w:hAnsi="Times New Roman" w:cs="Times New Roman"/>
          <w:sz w:val="24"/>
          <w:szCs w:val="24"/>
          <w:lang w:val="en-US"/>
        </w:rPr>
        <w:t>dólar</w:t>
      </w:r>
      <w:proofErr w:type="spellEnd"/>
      <w:r w:rsidR="002A72E9" w:rsidRPr="00332D83">
        <w:rPr>
          <w:rFonts w:ascii="Times New Roman" w:hAnsi="Times New Roman" w:cs="Times New Roman"/>
          <w:sz w:val="24"/>
          <w:szCs w:val="24"/>
          <w:lang w:val="en-US"/>
        </w:rPr>
        <w:t xml:space="preserve"> </w:t>
      </w:r>
      <w:proofErr w:type="spellStart"/>
      <w:r w:rsidR="002A72E9" w:rsidRPr="00332D83">
        <w:rPr>
          <w:rFonts w:ascii="Times New Roman" w:hAnsi="Times New Roman" w:cs="Times New Roman"/>
          <w:sz w:val="24"/>
          <w:szCs w:val="24"/>
          <w:lang w:val="en-US"/>
        </w:rPr>
        <w:t>flexível</w:t>
      </w:r>
      <w:proofErr w:type="spellEnd"/>
      <w:r w:rsidR="002A72E9" w:rsidRPr="00332D83">
        <w:rPr>
          <w:rFonts w:ascii="Times New Roman" w:hAnsi="Times New Roman" w:cs="Times New Roman"/>
          <w:sz w:val="24"/>
          <w:szCs w:val="24"/>
          <w:lang w:val="en-US"/>
        </w:rPr>
        <w:t xml:space="preserve"> seria a </w:t>
      </w:r>
      <w:proofErr w:type="spellStart"/>
      <w:r w:rsidR="002A72E9" w:rsidRPr="00332D83">
        <w:rPr>
          <w:rFonts w:ascii="Times New Roman" w:hAnsi="Times New Roman" w:cs="Times New Roman"/>
          <w:sz w:val="24"/>
          <w:szCs w:val="24"/>
          <w:lang w:val="en-US"/>
        </w:rPr>
        <w:t>melhor</w:t>
      </w:r>
      <w:proofErr w:type="spellEnd"/>
      <w:r w:rsidR="002A72E9" w:rsidRPr="00332D83">
        <w:rPr>
          <w:rFonts w:ascii="Times New Roman" w:hAnsi="Times New Roman" w:cs="Times New Roman"/>
          <w:sz w:val="24"/>
          <w:szCs w:val="24"/>
          <w:lang w:val="en-US"/>
        </w:rPr>
        <w:t xml:space="preserve"> </w:t>
      </w:r>
      <w:proofErr w:type="spellStart"/>
      <w:r w:rsidR="002A72E9" w:rsidRPr="00332D83">
        <w:rPr>
          <w:rFonts w:ascii="Times New Roman" w:hAnsi="Times New Roman" w:cs="Times New Roman"/>
          <w:sz w:val="24"/>
          <w:szCs w:val="24"/>
          <w:lang w:val="en-US"/>
        </w:rPr>
        <w:t>opção</w:t>
      </w:r>
      <w:proofErr w:type="spellEnd"/>
      <w:r w:rsidR="002A72E9" w:rsidRPr="00332D83">
        <w:rPr>
          <w:rFonts w:ascii="Times New Roman" w:hAnsi="Times New Roman" w:cs="Times New Roman"/>
          <w:sz w:val="24"/>
          <w:szCs w:val="24"/>
          <w:lang w:val="en-US"/>
        </w:rPr>
        <w:t xml:space="preserve"> a </w:t>
      </w:r>
      <w:proofErr w:type="spellStart"/>
      <w:r w:rsidR="002A72E9" w:rsidRPr="00332D83">
        <w:rPr>
          <w:rFonts w:ascii="Times New Roman" w:hAnsi="Times New Roman" w:cs="Times New Roman"/>
          <w:sz w:val="24"/>
          <w:szCs w:val="24"/>
          <w:lang w:val="en-US"/>
        </w:rPr>
        <w:t>ser</w:t>
      </w:r>
      <w:proofErr w:type="spellEnd"/>
      <w:r w:rsidR="002A72E9" w:rsidRPr="00332D83">
        <w:rPr>
          <w:rFonts w:ascii="Times New Roman" w:hAnsi="Times New Roman" w:cs="Times New Roman"/>
          <w:sz w:val="24"/>
          <w:szCs w:val="24"/>
          <w:lang w:val="en-US"/>
        </w:rPr>
        <w:t xml:space="preserve"> </w:t>
      </w:r>
      <w:proofErr w:type="spellStart"/>
      <w:r w:rsidR="002A72E9" w:rsidRPr="00332D83">
        <w:rPr>
          <w:rFonts w:ascii="Times New Roman" w:hAnsi="Times New Roman" w:cs="Times New Roman"/>
          <w:sz w:val="24"/>
          <w:szCs w:val="24"/>
          <w:lang w:val="en-US"/>
        </w:rPr>
        <w:t>adotada</w:t>
      </w:r>
      <w:proofErr w:type="spellEnd"/>
      <w:r w:rsidR="002A72E9" w:rsidRPr="00332D83">
        <w:rPr>
          <w:rFonts w:ascii="Times New Roman" w:hAnsi="Times New Roman" w:cs="Times New Roman"/>
          <w:sz w:val="24"/>
          <w:szCs w:val="24"/>
          <w:lang w:val="en-US"/>
        </w:rPr>
        <w:t xml:space="preserve"> </w:t>
      </w:r>
      <w:proofErr w:type="spellStart"/>
      <w:r w:rsidR="002A72E9" w:rsidRPr="00332D83">
        <w:rPr>
          <w:rFonts w:ascii="Times New Roman" w:hAnsi="Times New Roman" w:cs="Times New Roman"/>
          <w:sz w:val="24"/>
          <w:szCs w:val="24"/>
          <w:lang w:val="en-US"/>
        </w:rPr>
        <w:t>uma</w:t>
      </w:r>
      <w:proofErr w:type="spellEnd"/>
      <w:r w:rsidR="002A72E9" w:rsidRPr="00332D83">
        <w:rPr>
          <w:rFonts w:ascii="Times New Roman" w:hAnsi="Times New Roman" w:cs="Times New Roman"/>
          <w:sz w:val="24"/>
          <w:szCs w:val="24"/>
          <w:lang w:val="en-US"/>
        </w:rPr>
        <w:t xml:space="preserve"> </w:t>
      </w:r>
      <w:proofErr w:type="spellStart"/>
      <w:r w:rsidR="002A72E9" w:rsidRPr="00332D83">
        <w:rPr>
          <w:rFonts w:ascii="Times New Roman" w:hAnsi="Times New Roman" w:cs="Times New Roman"/>
          <w:sz w:val="24"/>
          <w:szCs w:val="24"/>
          <w:lang w:val="en-US"/>
        </w:rPr>
        <w:t>vez</w:t>
      </w:r>
      <w:proofErr w:type="spellEnd"/>
      <w:r w:rsidR="002A72E9" w:rsidRPr="00332D83">
        <w:rPr>
          <w:rFonts w:ascii="Times New Roman" w:hAnsi="Times New Roman" w:cs="Times New Roman"/>
          <w:sz w:val="24"/>
          <w:szCs w:val="24"/>
          <w:lang w:val="en-US"/>
        </w:rPr>
        <w:t xml:space="preserve"> que:</w:t>
      </w:r>
      <w:r w:rsidR="005014D1" w:rsidRPr="00332D83">
        <w:rPr>
          <w:rFonts w:ascii="Times New Roman" w:hAnsi="Times New Roman" w:cs="Times New Roman"/>
          <w:sz w:val="24"/>
          <w:szCs w:val="24"/>
          <w:lang w:val="en-US"/>
        </w:rPr>
        <w:t xml:space="preserve"> "</w:t>
      </w:r>
      <w:r w:rsidR="005014D1" w:rsidRPr="00332D83">
        <w:rPr>
          <w:rFonts w:ascii="Times New Roman" w:hAnsi="Times New Roman" w:cs="Times New Roman"/>
          <w:i/>
          <w:sz w:val="24"/>
          <w:szCs w:val="24"/>
          <w:lang w:val="en-US"/>
        </w:rPr>
        <w:t>a return to gold as advocated by the French, the adoption of a new international</w:t>
      </w:r>
      <w:r w:rsidR="0066463F" w:rsidRPr="00332D83">
        <w:rPr>
          <w:rFonts w:ascii="Times New Roman" w:hAnsi="Times New Roman" w:cs="Times New Roman"/>
          <w:i/>
          <w:sz w:val="24"/>
          <w:szCs w:val="24"/>
          <w:lang w:val="en-US"/>
        </w:rPr>
        <w:t xml:space="preserve"> </w:t>
      </w:r>
      <w:r w:rsidR="005014D1" w:rsidRPr="00332D83">
        <w:rPr>
          <w:rFonts w:ascii="Times New Roman" w:hAnsi="Times New Roman" w:cs="Times New Roman"/>
          <w:i/>
          <w:sz w:val="24"/>
          <w:szCs w:val="24"/>
          <w:lang w:val="en-US"/>
        </w:rPr>
        <w:t>currency proposed by Triffin, or of a new international asset to supplement gold and dollars, under consideration by the Group of Ten, would each be contrived, artificial, and less efficient than the</w:t>
      </w:r>
      <w:r w:rsidR="0066463F" w:rsidRPr="00332D83">
        <w:rPr>
          <w:rFonts w:ascii="Times New Roman" w:hAnsi="Times New Roman" w:cs="Times New Roman"/>
          <w:i/>
          <w:sz w:val="24"/>
          <w:szCs w:val="24"/>
          <w:lang w:val="en-US"/>
        </w:rPr>
        <w:t xml:space="preserve"> </w:t>
      </w:r>
      <w:r w:rsidR="005014D1" w:rsidRPr="00332D83">
        <w:rPr>
          <w:rFonts w:ascii="Times New Roman" w:hAnsi="Times New Roman" w:cs="Times New Roman"/>
          <w:i/>
          <w:sz w:val="24"/>
          <w:szCs w:val="24"/>
          <w:lang w:val="en-US"/>
        </w:rPr>
        <w:t>dollar standard</w:t>
      </w:r>
      <w:r w:rsidR="002A72E9" w:rsidRPr="00332D83">
        <w:rPr>
          <w:rFonts w:ascii="Times New Roman" w:hAnsi="Times New Roman" w:cs="Times New Roman"/>
          <w:i/>
          <w:sz w:val="24"/>
          <w:szCs w:val="24"/>
          <w:lang w:val="en-US"/>
        </w:rPr>
        <w:t xml:space="preserve">, with liquidity supported by an international </w:t>
      </w:r>
      <w:r w:rsidR="002A72E9" w:rsidRPr="00FB16E4">
        <w:rPr>
          <w:rFonts w:ascii="Times New Roman" w:hAnsi="Times New Roman" w:cs="Times New Roman"/>
          <w:i/>
          <w:sz w:val="24"/>
          <w:szCs w:val="24"/>
          <w:lang w:val="en-US"/>
        </w:rPr>
        <w:t>capital market centered on New York and its Eurodollar and</w:t>
      </w:r>
      <w:r w:rsidR="000B0405" w:rsidRPr="00FB16E4">
        <w:rPr>
          <w:rFonts w:ascii="Times New Roman" w:hAnsi="Times New Roman" w:cs="Times New Roman"/>
          <w:i/>
          <w:sz w:val="24"/>
          <w:szCs w:val="24"/>
          <w:lang w:val="en-US"/>
        </w:rPr>
        <w:t xml:space="preserve"> </w:t>
      </w:r>
      <w:r w:rsidR="002A72E9" w:rsidRPr="00FB16E4">
        <w:rPr>
          <w:rFonts w:ascii="Times New Roman" w:hAnsi="Times New Roman" w:cs="Times New Roman"/>
          <w:i/>
          <w:sz w:val="24"/>
          <w:szCs w:val="24"/>
          <w:lang w:val="en-US"/>
        </w:rPr>
        <w:t>Eurodollar-bond extensions".</w:t>
      </w:r>
      <w:r w:rsidR="001F6F50">
        <w:rPr>
          <w:rFonts w:ascii="Times New Roman" w:hAnsi="Times New Roman" w:cs="Times New Roman"/>
          <w:sz w:val="24"/>
          <w:szCs w:val="24"/>
          <w:lang w:val="en-US"/>
        </w:rPr>
        <w:t xml:space="preserve"> </w:t>
      </w:r>
      <w:r w:rsidR="00865257" w:rsidRPr="00415AC4">
        <w:rPr>
          <w:rFonts w:ascii="Times New Roman" w:hAnsi="Times New Roman" w:cs="Times New Roman"/>
          <w:sz w:val="24"/>
          <w:szCs w:val="24"/>
        </w:rPr>
        <w:t>(</w:t>
      </w:r>
      <w:r w:rsidR="001F6F50" w:rsidRPr="00415AC4">
        <w:rPr>
          <w:rFonts w:ascii="Times New Roman" w:hAnsi="Times New Roman" w:cs="Times New Roman"/>
          <w:sz w:val="24"/>
          <w:szCs w:val="24"/>
        </w:rPr>
        <w:t>KINDLEBERGER, 1967:1)</w:t>
      </w:r>
    </w:p>
    <w:p w:rsidR="00436A69" w:rsidRDefault="00331FC0"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Essa ideia ganhou corpo posteriormente no relató</w:t>
      </w:r>
      <w:r w:rsidR="00616732" w:rsidRPr="00332D83">
        <w:rPr>
          <w:rFonts w:ascii="Times New Roman" w:hAnsi="Times New Roman" w:cs="Times New Roman"/>
          <w:sz w:val="24"/>
          <w:szCs w:val="24"/>
        </w:rPr>
        <w:t xml:space="preserve">rio </w:t>
      </w:r>
      <w:r w:rsidR="00E516CB" w:rsidRPr="00332D83">
        <w:rPr>
          <w:rFonts w:ascii="Times New Roman" w:hAnsi="Times New Roman" w:cs="Times New Roman"/>
          <w:sz w:val="24"/>
          <w:szCs w:val="24"/>
        </w:rPr>
        <w:t xml:space="preserve">de 1969 </w:t>
      </w:r>
      <w:r w:rsidR="00616732" w:rsidRPr="00332D83">
        <w:rPr>
          <w:rFonts w:ascii="Times New Roman" w:hAnsi="Times New Roman" w:cs="Times New Roman"/>
          <w:sz w:val="24"/>
          <w:szCs w:val="24"/>
        </w:rPr>
        <w:t>do chamado "</w:t>
      </w:r>
      <w:proofErr w:type="spellStart"/>
      <w:r w:rsidR="00616732" w:rsidRPr="00332D83">
        <w:rPr>
          <w:rFonts w:ascii="Times New Roman" w:hAnsi="Times New Roman" w:cs="Times New Roman"/>
          <w:sz w:val="24"/>
          <w:szCs w:val="24"/>
        </w:rPr>
        <w:t>Volcker</w:t>
      </w:r>
      <w:proofErr w:type="spellEnd"/>
      <w:r w:rsidR="00616732" w:rsidRPr="00332D83">
        <w:rPr>
          <w:rFonts w:ascii="Times New Roman" w:hAnsi="Times New Roman" w:cs="Times New Roman"/>
          <w:sz w:val="24"/>
          <w:szCs w:val="24"/>
        </w:rPr>
        <w:t xml:space="preserve"> </w:t>
      </w:r>
      <w:proofErr w:type="spellStart"/>
      <w:r w:rsidR="00616732" w:rsidRPr="00332D83">
        <w:rPr>
          <w:rFonts w:ascii="Times New Roman" w:hAnsi="Times New Roman" w:cs="Times New Roman"/>
          <w:sz w:val="24"/>
          <w:szCs w:val="24"/>
        </w:rPr>
        <w:t>Group</w:t>
      </w:r>
      <w:proofErr w:type="spellEnd"/>
      <w:r w:rsidR="00616732" w:rsidRPr="00332D83">
        <w:rPr>
          <w:rFonts w:ascii="Times New Roman" w:hAnsi="Times New Roman" w:cs="Times New Roman"/>
          <w:sz w:val="24"/>
          <w:szCs w:val="24"/>
        </w:rPr>
        <w:t>", que incluía membros das diferentes agências econômicas do governo americano, além do Conselho de Segurança Nacional</w:t>
      </w:r>
      <w:r w:rsidRPr="00332D83">
        <w:rPr>
          <w:rFonts w:ascii="Times New Roman" w:hAnsi="Times New Roman" w:cs="Times New Roman"/>
          <w:sz w:val="24"/>
          <w:szCs w:val="24"/>
        </w:rPr>
        <w:t xml:space="preserve">. </w:t>
      </w:r>
      <w:r w:rsidR="00E516CB" w:rsidRPr="00332D83">
        <w:rPr>
          <w:rFonts w:ascii="Times New Roman" w:hAnsi="Times New Roman" w:cs="Times New Roman"/>
          <w:sz w:val="24"/>
          <w:szCs w:val="24"/>
        </w:rPr>
        <w:t>Esse</w:t>
      </w:r>
      <w:r w:rsidRPr="00332D83">
        <w:rPr>
          <w:rFonts w:ascii="Times New Roman" w:hAnsi="Times New Roman" w:cs="Times New Roman"/>
          <w:sz w:val="24"/>
          <w:szCs w:val="24"/>
        </w:rPr>
        <w:t xml:space="preserve"> documento</w:t>
      </w:r>
      <w:r w:rsidR="00E516CB" w:rsidRPr="00332D83">
        <w:rPr>
          <w:rFonts w:ascii="Times New Roman" w:hAnsi="Times New Roman" w:cs="Times New Roman"/>
          <w:sz w:val="24"/>
          <w:szCs w:val="24"/>
        </w:rPr>
        <w:t xml:space="preserve"> </w:t>
      </w:r>
      <w:r w:rsidR="00616732" w:rsidRPr="00332D83">
        <w:rPr>
          <w:rFonts w:ascii="Times New Roman" w:hAnsi="Times New Roman" w:cs="Times New Roman"/>
          <w:sz w:val="24"/>
          <w:szCs w:val="24"/>
        </w:rPr>
        <w:t>descartava a opção de desvalorização unilateral do dólar, devido à previsão de que outros países seguiriam o movimento e desva</w:t>
      </w:r>
      <w:r w:rsidR="00E516CB" w:rsidRPr="00332D83">
        <w:rPr>
          <w:rFonts w:ascii="Times New Roman" w:hAnsi="Times New Roman" w:cs="Times New Roman"/>
          <w:sz w:val="24"/>
          <w:szCs w:val="24"/>
        </w:rPr>
        <w:t>lorizariam suas próprias moedas</w:t>
      </w:r>
      <w:r w:rsidR="00CA3B88" w:rsidRPr="00332D83">
        <w:rPr>
          <w:rFonts w:ascii="Times New Roman" w:hAnsi="Times New Roman" w:cs="Times New Roman"/>
          <w:sz w:val="24"/>
          <w:szCs w:val="24"/>
        </w:rPr>
        <w:t xml:space="preserve"> </w:t>
      </w:r>
      <w:r w:rsidR="00E516CB" w:rsidRPr="00332D83">
        <w:rPr>
          <w:rFonts w:ascii="Times New Roman" w:hAnsi="Times New Roman" w:cs="Times New Roman"/>
          <w:sz w:val="24"/>
          <w:szCs w:val="24"/>
        </w:rPr>
        <w:t>na mesma proporção, R</w:t>
      </w:r>
      <w:r w:rsidR="00616732" w:rsidRPr="00332D83">
        <w:rPr>
          <w:rFonts w:ascii="Times New Roman" w:hAnsi="Times New Roman" w:cs="Times New Roman"/>
          <w:sz w:val="24"/>
          <w:szCs w:val="24"/>
        </w:rPr>
        <w:t>ecomendava</w:t>
      </w:r>
      <w:r w:rsidR="00E516CB" w:rsidRPr="00332D83">
        <w:rPr>
          <w:rFonts w:ascii="Times New Roman" w:hAnsi="Times New Roman" w:cs="Times New Roman"/>
          <w:sz w:val="24"/>
          <w:szCs w:val="24"/>
        </w:rPr>
        <w:t xml:space="preserve"> como alternativa</w:t>
      </w:r>
      <w:r w:rsidR="00616732" w:rsidRPr="00332D83">
        <w:rPr>
          <w:rFonts w:ascii="Times New Roman" w:hAnsi="Times New Roman" w:cs="Times New Roman"/>
          <w:sz w:val="24"/>
          <w:szCs w:val="24"/>
        </w:rPr>
        <w:t xml:space="preserve"> </w:t>
      </w:r>
      <w:r w:rsidR="00E516CB" w:rsidRPr="00332D83">
        <w:rPr>
          <w:rFonts w:ascii="Times New Roman" w:hAnsi="Times New Roman" w:cs="Times New Roman"/>
          <w:sz w:val="24"/>
          <w:szCs w:val="24"/>
        </w:rPr>
        <w:t>a</w:t>
      </w:r>
      <w:r w:rsidR="00616732" w:rsidRPr="00332D83">
        <w:rPr>
          <w:rFonts w:ascii="Times New Roman" w:hAnsi="Times New Roman" w:cs="Times New Roman"/>
          <w:sz w:val="24"/>
          <w:szCs w:val="24"/>
        </w:rPr>
        <w:t xml:space="preserve"> suspensão da conversibilidade</w:t>
      </w:r>
      <w:r w:rsidR="00CA3B88" w:rsidRPr="00332D83">
        <w:rPr>
          <w:rFonts w:ascii="Times New Roman" w:hAnsi="Times New Roman" w:cs="Times New Roman"/>
          <w:sz w:val="24"/>
          <w:szCs w:val="24"/>
        </w:rPr>
        <w:t xml:space="preserve"> (</w:t>
      </w:r>
      <w:r w:rsidR="001F6F50" w:rsidRPr="00332D83">
        <w:rPr>
          <w:rFonts w:ascii="Times New Roman" w:hAnsi="Times New Roman" w:cs="Times New Roman"/>
          <w:sz w:val="24"/>
          <w:szCs w:val="24"/>
        </w:rPr>
        <w:t>AGUIAR</w:t>
      </w:r>
      <w:r w:rsidR="00865257">
        <w:rPr>
          <w:rFonts w:ascii="Times New Roman" w:hAnsi="Times New Roman" w:cs="Times New Roman"/>
          <w:sz w:val="24"/>
          <w:szCs w:val="24"/>
        </w:rPr>
        <w:t>, 1995:</w:t>
      </w:r>
      <w:r w:rsidR="00CA3B88" w:rsidRPr="00332D83">
        <w:rPr>
          <w:rFonts w:ascii="Times New Roman" w:hAnsi="Times New Roman" w:cs="Times New Roman"/>
          <w:sz w:val="24"/>
          <w:szCs w:val="24"/>
        </w:rPr>
        <w:t>62-63)</w:t>
      </w:r>
      <w:r w:rsidR="00E516CB" w:rsidRPr="00332D83">
        <w:rPr>
          <w:rFonts w:ascii="Times New Roman" w:hAnsi="Times New Roman" w:cs="Times New Roman"/>
          <w:sz w:val="24"/>
          <w:szCs w:val="24"/>
        </w:rPr>
        <w:t xml:space="preserve"> Essa decisão deveria, por sua vez, ser tomada de forma que </w:t>
      </w:r>
      <w:r w:rsidR="00616732" w:rsidRPr="00332D83">
        <w:rPr>
          <w:rFonts w:ascii="Times New Roman" w:hAnsi="Times New Roman" w:cs="Times New Roman"/>
          <w:sz w:val="24"/>
          <w:szCs w:val="24"/>
        </w:rPr>
        <w:t xml:space="preserve"> parecesse uma respo</w:t>
      </w:r>
      <w:r w:rsidR="00917FB7" w:rsidRPr="00332D83">
        <w:rPr>
          <w:rFonts w:ascii="Times New Roman" w:hAnsi="Times New Roman" w:cs="Times New Roman"/>
          <w:sz w:val="24"/>
          <w:szCs w:val="24"/>
        </w:rPr>
        <w:t>sta involuntária de Washington</w:t>
      </w:r>
      <w:r w:rsidR="00E516CB" w:rsidRPr="00332D83">
        <w:rPr>
          <w:rFonts w:ascii="Times New Roman" w:hAnsi="Times New Roman" w:cs="Times New Roman"/>
          <w:sz w:val="24"/>
          <w:szCs w:val="24"/>
        </w:rPr>
        <w:t xml:space="preserve"> a uma situação de crise,</w:t>
      </w:r>
      <w:r w:rsidR="00917FB7" w:rsidRPr="00332D83">
        <w:rPr>
          <w:rFonts w:ascii="Times New Roman" w:hAnsi="Times New Roman" w:cs="Times New Roman"/>
          <w:sz w:val="24"/>
          <w:szCs w:val="24"/>
        </w:rPr>
        <w:t xml:space="preserve"> </w:t>
      </w:r>
      <w:r w:rsidR="00F64B1E" w:rsidRPr="00470EFA">
        <w:rPr>
          <w:rFonts w:ascii="Times New Roman" w:hAnsi="Times New Roman" w:cs="Times New Roman"/>
          <w:i/>
          <w:sz w:val="24"/>
          <w:szCs w:val="24"/>
        </w:rPr>
        <w:t>“[</w:t>
      </w:r>
      <w:r w:rsidR="00F64B1E" w:rsidRPr="00332D83">
        <w:rPr>
          <w:rFonts w:ascii="Times New Roman" w:hAnsi="Times New Roman" w:cs="Times New Roman"/>
          <w:i/>
          <w:sz w:val="24"/>
          <w:szCs w:val="24"/>
        </w:rPr>
        <w:t xml:space="preserve">i]n </w:t>
      </w:r>
      <w:proofErr w:type="spellStart"/>
      <w:r w:rsidR="00F64B1E" w:rsidRPr="00332D83">
        <w:rPr>
          <w:rFonts w:ascii="Times New Roman" w:hAnsi="Times New Roman" w:cs="Times New Roman"/>
          <w:i/>
          <w:sz w:val="24"/>
          <w:szCs w:val="24"/>
        </w:rPr>
        <w:t>the</w:t>
      </w:r>
      <w:proofErr w:type="spellEnd"/>
      <w:r w:rsidR="00F64B1E" w:rsidRPr="00332D83">
        <w:rPr>
          <w:rFonts w:ascii="Times New Roman" w:hAnsi="Times New Roman" w:cs="Times New Roman"/>
          <w:i/>
          <w:sz w:val="24"/>
          <w:szCs w:val="24"/>
        </w:rPr>
        <w:t xml:space="preserve"> </w:t>
      </w:r>
      <w:proofErr w:type="spellStart"/>
      <w:r w:rsidR="00F64B1E" w:rsidRPr="00332D83">
        <w:rPr>
          <w:rFonts w:ascii="Times New Roman" w:hAnsi="Times New Roman" w:cs="Times New Roman"/>
          <w:i/>
          <w:sz w:val="24"/>
          <w:szCs w:val="24"/>
        </w:rPr>
        <w:t>interests</w:t>
      </w:r>
      <w:proofErr w:type="spellEnd"/>
      <w:r w:rsidR="00F64B1E" w:rsidRPr="00332D83">
        <w:rPr>
          <w:rFonts w:ascii="Times New Roman" w:hAnsi="Times New Roman" w:cs="Times New Roman"/>
          <w:i/>
          <w:sz w:val="24"/>
          <w:szCs w:val="24"/>
        </w:rPr>
        <w:t xml:space="preserve"> </w:t>
      </w:r>
      <w:proofErr w:type="spellStart"/>
      <w:r w:rsidR="00F64B1E" w:rsidRPr="00332D83">
        <w:rPr>
          <w:rFonts w:ascii="Times New Roman" w:hAnsi="Times New Roman" w:cs="Times New Roman"/>
          <w:i/>
          <w:sz w:val="24"/>
          <w:szCs w:val="24"/>
        </w:rPr>
        <w:t>of</w:t>
      </w:r>
      <w:proofErr w:type="spellEnd"/>
      <w:r w:rsidR="00F64B1E" w:rsidRPr="00332D83">
        <w:rPr>
          <w:rFonts w:ascii="Times New Roman" w:hAnsi="Times New Roman" w:cs="Times New Roman"/>
          <w:i/>
          <w:sz w:val="24"/>
          <w:szCs w:val="24"/>
        </w:rPr>
        <w:t xml:space="preserve"> </w:t>
      </w:r>
      <w:proofErr w:type="spellStart"/>
      <w:r w:rsidR="00F64B1E" w:rsidRPr="00332D83">
        <w:rPr>
          <w:rFonts w:ascii="Times New Roman" w:hAnsi="Times New Roman" w:cs="Times New Roman"/>
          <w:i/>
          <w:sz w:val="24"/>
          <w:szCs w:val="24"/>
        </w:rPr>
        <w:t>facilitating</w:t>
      </w:r>
      <w:proofErr w:type="spellEnd"/>
      <w:r w:rsidR="00F64B1E" w:rsidRPr="00332D83">
        <w:rPr>
          <w:rFonts w:ascii="Times New Roman" w:hAnsi="Times New Roman" w:cs="Times New Roman"/>
          <w:i/>
          <w:sz w:val="24"/>
          <w:szCs w:val="24"/>
        </w:rPr>
        <w:t xml:space="preserve"> </w:t>
      </w:r>
      <w:proofErr w:type="spellStart"/>
      <w:r w:rsidR="00F64B1E" w:rsidRPr="00332D83">
        <w:rPr>
          <w:rFonts w:ascii="Times New Roman" w:hAnsi="Times New Roman" w:cs="Times New Roman"/>
          <w:i/>
          <w:sz w:val="24"/>
          <w:szCs w:val="24"/>
        </w:rPr>
        <w:t>international</w:t>
      </w:r>
      <w:proofErr w:type="spellEnd"/>
      <w:r w:rsidR="00F64B1E" w:rsidRPr="00332D83">
        <w:rPr>
          <w:rFonts w:ascii="Times New Roman" w:hAnsi="Times New Roman" w:cs="Times New Roman"/>
          <w:i/>
          <w:sz w:val="24"/>
          <w:szCs w:val="24"/>
        </w:rPr>
        <w:t xml:space="preserve"> </w:t>
      </w:r>
      <w:proofErr w:type="spellStart"/>
      <w:r w:rsidR="00F64B1E" w:rsidRPr="00332D83">
        <w:rPr>
          <w:rFonts w:ascii="Times New Roman" w:hAnsi="Times New Roman" w:cs="Times New Roman"/>
          <w:i/>
          <w:sz w:val="24"/>
          <w:szCs w:val="24"/>
        </w:rPr>
        <w:lastRenderedPageBreak/>
        <w:t>harmony</w:t>
      </w:r>
      <w:proofErr w:type="spellEnd"/>
      <w:r w:rsidR="00F64B1E" w:rsidRPr="00332D83">
        <w:rPr>
          <w:rFonts w:ascii="Times New Roman" w:hAnsi="Times New Roman" w:cs="Times New Roman"/>
          <w:i/>
          <w:sz w:val="24"/>
          <w:szCs w:val="24"/>
        </w:rPr>
        <w:t xml:space="preserve">, </w:t>
      </w:r>
      <w:proofErr w:type="spellStart"/>
      <w:r w:rsidR="00F64B1E" w:rsidRPr="00332D83">
        <w:rPr>
          <w:rFonts w:ascii="Times New Roman" w:hAnsi="Times New Roman" w:cs="Times New Roman"/>
          <w:i/>
          <w:sz w:val="24"/>
          <w:szCs w:val="24"/>
        </w:rPr>
        <w:t>the</w:t>
      </w:r>
      <w:proofErr w:type="spellEnd"/>
      <w:r w:rsidR="00F64B1E" w:rsidRPr="00332D83">
        <w:rPr>
          <w:rFonts w:ascii="Times New Roman" w:hAnsi="Times New Roman" w:cs="Times New Roman"/>
          <w:i/>
          <w:sz w:val="24"/>
          <w:szCs w:val="24"/>
        </w:rPr>
        <w:t xml:space="preserve"> </w:t>
      </w:r>
      <w:proofErr w:type="spellStart"/>
      <w:r w:rsidR="00F64B1E" w:rsidRPr="00332D83">
        <w:rPr>
          <w:rFonts w:ascii="Times New Roman" w:hAnsi="Times New Roman" w:cs="Times New Roman"/>
          <w:i/>
          <w:sz w:val="24"/>
          <w:szCs w:val="24"/>
        </w:rPr>
        <w:t>appearance</w:t>
      </w:r>
      <w:proofErr w:type="spellEnd"/>
      <w:r w:rsidR="00F64B1E" w:rsidRPr="00332D83">
        <w:rPr>
          <w:rFonts w:ascii="Times New Roman" w:hAnsi="Times New Roman" w:cs="Times New Roman"/>
          <w:i/>
          <w:sz w:val="24"/>
          <w:szCs w:val="24"/>
        </w:rPr>
        <w:t xml:space="preserve"> </w:t>
      </w:r>
      <w:proofErr w:type="spellStart"/>
      <w:r w:rsidR="00F64B1E" w:rsidRPr="00332D83">
        <w:rPr>
          <w:rFonts w:ascii="Times New Roman" w:hAnsi="Times New Roman" w:cs="Times New Roman"/>
          <w:i/>
          <w:sz w:val="24"/>
          <w:szCs w:val="24"/>
        </w:rPr>
        <w:t>of</w:t>
      </w:r>
      <w:proofErr w:type="spellEnd"/>
      <w:r w:rsidR="00F64B1E" w:rsidRPr="00332D83">
        <w:rPr>
          <w:rFonts w:ascii="Times New Roman" w:hAnsi="Times New Roman" w:cs="Times New Roman"/>
          <w:i/>
          <w:sz w:val="24"/>
          <w:szCs w:val="24"/>
        </w:rPr>
        <w:t xml:space="preserve"> US </w:t>
      </w:r>
      <w:proofErr w:type="spellStart"/>
      <w:r w:rsidR="00F64B1E" w:rsidRPr="00332D83">
        <w:rPr>
          <w:rFonts w:ascii="Times New Roman" w:hAnsi="Times New Roman" w:cs="Times New Roman"/>
          <w:i/>
          <w:sz w:val="24"/>
          <w:szCs w:val="24"/>
        </w:rPr>
        <w:t>hegemony</w:t>
      </w:r>
      <w:proofErr w:type="spellEnd"/>
      <w:r w:rsidR="00F64B1E" w:rsidRPr="00332D83">
        <w:rPr>
          <w:rFonts w:ascii="Times New Roman" w:hAnsi="Times New Roman" w:cs="Times New Roman"/>
          <w:i/>
          <w:sz w:val="24"/>
          <w:szCs w:val="24"/>
        </w:rPr>
        <w:t xml:space="preserve"> </w:t>
      </w:r>
      <w:proofErr w:type="spellStart"/>
      <w:r w:rsidR="00F64B1E" w:rsidRPr="00332D83">
        <w:rPr>
          <w:rFonts w:ascii="Times New Roman" w:hAnsi="Times New Roman" w:cs="Times New Roman"/>
          <w:i/>
          <w:sz w:val="24"/>
          <w:szCs w:val="24"/>
        </w:rPr>
        <w:t>should</w:t>
      </w:r>
      <w:proofErr w:type="spellEnd"/>
      <w:r w:rsidR="00F64B1E" w:rsidRPr="00332D83">
        <w:rPr>
          <w:rFonts w:ascii="Times New Roman" w:hAnsi="Times New Roman" w:cs="Times New Roman"/>
          <w:i/>
          <w:sz w:val="24"/>
          <w:szCs w:val="24"/>
        </w:rPr>
        <w:t xml:space="preserve"> </w:t>
      </w:r>
      <w:proofErr w:type="spellStart"/>
      <w:r w:rsidR="00F64B1E" w:rsidRPr="00332D83">
        <w:rPr>
          <w:rFonts w:ascii="Times New Roman" w:hAnsi="Times New Roman" w:cs="Times New Roman"/>
          <w:i/>
          <w:sz w:val="24"/>
          <w:szCs w:val="24"/>
        </w:rPr>
        <w:t>not</w:t>
      </w:r>
      <w:proofErr w:type="spellEnd"/>
      <w:r w:rsidR="00F64B1E" w:rsidRPr="00332D83">
        <w:rPr>
          <w:rFonts w:ascii="Times New Roman" w:hAnsi="Times New Roman" w:cs="Times New Roman"/>
          <w:i/>
          <w:sz w:val="24"/>
          <w:szCs w:val="24"/>
        </w:rPr>
        <w:t xml:space="preserve"> </w:t>
      </w:r>
      <w:proofErr w:type="spellStart"/>
      <w:r w:rsidR="00F64B1E" w:rsidRPr="00332D83">
        <w:rPr>
          <w:rFonts w:ascii="Times New Roman" w:hAnsi="Times New Roman" w:cs="Times New Roman"/>
          <w:i/>
          <w:sz w:val="24"/>
          <w:szCs w:val="24"/>
        </w:rPr>
        <w:t>be</w:t>
      </w:r>
      <w:proofErr w:type="spellEnd"/>
      <w:r w:rsidR="00F64B1E" w:rsidRPr="00332D83">
        <w:rPr>
          <w:rFonts w:ascii="Times New Roman" w:hAnsi="Times New Roman" w:cs="Times New Roman"/>
          <w:i/>
          <w:sz w:val="24"/>
          <w:szCs w:val="24"/>
        </w:rPr>
        <w:t xml:space="preserve"> </w:t>
      </w:r>
      <w:proofErr w:type="spellStart"/>
      <w:r w:rsidR="00F64B1E" w:rsidRPr="00332D83">
        <w:rPr>
          <w:rFonts w:ascii="Times New Roman" w:hAnsi="Times New Roman" w:cs="Times New Roman"/>
          <w:sz w:val="24"/>
          <w:szCs w:val="24"/>
        </w:rPr>
        <w:t>sought</w:t>
      </w:r>
      <w:proofErr w:type="spellEnd"/>
      <w:r w:rsidR="00F64B1E" w:rsidRPr="00332D83">
        <w:rPr>
          <w:rFonts w:ascii="Times New Roman" w:hAnsi="Times New Roman" w:cs="Times New Roman"/>
          <w:sz w:val="24"/>
          <w:szCs w:val="24"/>
        </w:rPr>
        <w:t xml:space="preserve">” </w:t>
      </w:r>
      <w:r w:rsidR="00CA3B88" w:rsidRPr="00332D83">
        <w:rPr>
          <w:rFonts w:ascii="Times New Roman" w:hAnsi="Times New Roman" w:cs="Times New Roman"/>
          <w:sz w:val="24"/>
          <w:szCs w:val="24"/>
        </w:rPr>
        <w:t>(</w:t>
      </w:r>
      <w:r w:rsidR="001F6F50" w:rsidRPr="00332D83">
        <w:rPr>
          <w:rFonts w:ascii="Times New Roman" w:hAnsi="Times New Roman" w:cs="Times New Roman"/>
          <w:sz w:val="24"/>
          <w:szCs w:val="24"/>
        </w:rPr>
        <w:t>U.S. DEPARTMENT OF THE TREASURY</w:t>
      </w:r>
      <w:r w:rsidR="00CA3B88" w:rsidRPr="00332D83">
        <w:rPr>
          <w:rFonts w:ascii="Times New Roman" w:hAnsi="Times New Roman" w:cs="Times New Roman"/>
          <w:sz w:val="24"/>
          <w:szCs w:val="24"/>
        </w:rPr>
        <w:t>, 1969:6)</w:t>
      </w:r>
      <w:r w:rsidR="00436A69">
        <w:rPr>
          <w:rFonts w:ascii="Times New Roman" w:hAnsi="Times New Roman" w:cs="Times New Roman"/>
          <w:sz w:val="24"/>
          <w:szCs w:val="24"/>
        </w:rPr>
        <w:t xml:space="preserve"> </w:t>
      </w:r>
    </w:p>
    <w:p w:rsidR="00436A69" w:rsidRDefault="00810F31"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A </w:t>
      </w:r>
      <w:r w:rsidR="0065659B" w:rsidRPr="00332D83">
        <w:rPr>
          <w:rFonts w:ascii="Times New Roman" w:hAnsi="Times New Roman" w:cs="Times New Roman"/>
          <w:sz w:val="24"/>
          <w:szCs w:val="24"/>
        </w:rPr>
        <w:t>política financeira</w:t>
      </w:r>
      <w:r w:rsidRPr="00332D83">
        <w:rPr>
          <w:rFonts w:ascii="Times New Roman" w:hAnsi="Times New Roman" w:cs="Times New Roman"/>
          <w:sz w:val="24"/>
          <w:szCs w:val="24"/>
        </w:rPr>
        <w:t xml:space="preserve"> ao final da década (</w:t>
      </w:r>
      <w:proofErr w:type="spellStart"/>
      <w:r w:rsidRPr="00332D83">
        <w:rPr>
          <w:rFonts w:ascii="Times New Roman" w:hAnsi="Times New Roman" w:cs="Times New Roman"/>
          <w:i/>
          <w:sz w:val="24"/>
          <w:szCs w:val="24"/>
        </w:rPr>
        <w:t>benign</w:t>
      </w:r>
      <w:proofErr w:type="spellEnd"/>
      <w:r w:rsidRPr="00332D83">
        <w:rPr>
          <w:rFonts w:ascii="Times New Roman" w:hAnsi="Times New Roman" w:cs="Times New Roman"/>
          <w:i/>
          <w:sz w:val="24"/>
          <w:szCs w:val="24"/>
        </w:rPr>
        <w:t xml:space="preserve"> </w:t>
      </w:r>
      <w:proofErr w:type="spellStart"/>
      <w:r w:rsidRPr="00332D83">
        <w:rPr>
          <w:rFonts w:ascii="Times New Roman" w:hAnsi="Times New Roman" w:cs="Times New Roman"/>
          <w:i/>
          <w:sz w:val="24"/>
          <w:szCs w:val="24"/>
        </w:rPr>
        <w:t>neglect</w:t>
      </w:r>
      <w:proofErr w:type="spellEnd"/>
      <w:r w:rsidRPr="00332D83">
        <w:rPr>
          <w:rFonts w:ascii="Times New Roman" w:hAnsi="Times New Roman" w:cs="Times New Roman"/>
          <w:i/>
          <w:sz w:val="24"/>
          <w:szCs w:val="24"/>
        </w:rPr>
        <w:t xml:space="preserve">) </w:t>
      </w:r>
      <w:r w:rsidRPr="00332D83">
        <w:rPr>
          <w:rFonts w:ascii="Times New Roman" w:hAnsi="Times New Roman" w:cs="Times New Roman"/>
          <w:sz w:val="24"/>
          <w:szCs w:val="24"/>
        </w:rPr>
        <w:t xml:space="preserve">mostra que, na prática, </w:t>
      </w:r>
      <w:r w:rsidR="0065659B" w:rsidRPr="00332D83">
        <w:rPr>
          <w:rFonts w:ascii="Times New Roman" w:hAnsi="Times New Roman" w:cs="Times New Roman"/>
          <w:sz w:val="24"/>
          <w:szCs w:val="24"/>
        </w:rPr>
        <w:t>os EUA havia</w:t>
      </w:r>
      <w:r w:rsidR="00917FB7" w:rsidRPr="00332D83">
        <w:rPr>
          <w:rFonts w:ascii="Times New Roman" w:hAnsi="Times New Roman" w:cs="Times New Roman"/>
          <w:sz w:val="24"/>
          <w:szCs w:val="24"/>
        </w:rPr>
        <w:t>m,</w:t>
      </w:r>
      <w:r w:rsidRPr="00332D83">
        <w:rPr>
          <w:rFonts w:ascii="Times New Roman" w:hAnsi="Times New Roman" w:cs="Times New Roman"/>
          <w:sz w:val="24"/>
          <w:szCs w:val="24"/>
        </w:rPr>
        <w:t xml:space="preserve"> </w:t>
      </w:r>
      <w:r w:rsidR="00701C8D" w:rsidRPr="00332D83">
        <w:rPr>
          <w:rFonts w:ascii="Times New Roman" w:hAnsi="Times New Roman" w:cs="Times New Roman"/>
          <w:sz w:val="24"/>
          <w:szCs w:val="24"/>
        </w:rPr>
        <w:t>desde o final dos anos 1960</w:t>
      </w:r>
      <w:r w:rsidR="00917FB7" w:rsidRPr="00332D83">
        <w:rPr>
          <w:rFonts w:ascii="Times New Roman" w:hAnsi="Times New Roman" w:cs="Times New Roman"/>
          <w:sz w:val="24"/>
          <w:szCs w:val="24"/>
        </w:rPr>
        <w:t>,</w:t>
      </w:r>
      <w:r w:rsidR="00701C8D" w:rsidRPr="00332D83">
        <w:rPr>
          <w:rFonts w:ascii="Times New Roman" w:hAnsi="Times New Roman" w:cs="Times New Roman"/>
          <w:sz w:val="24"/>
          <w:szCs w:val="24"/>
        </w:rPr>
        <w:t xml:space="preserve"> </w:t>
      </w:r>
      <w:r w:rsidRPr="00332D83">
        <w:rPr>
          <w:rFonts w:ascii="Times New Roman" w:hAnsi="Times New Roman" w:cs="Times New Roman"/>
          <w:sz w:val="24"/>
          <w:szCs w:val="24"/>
        </w:rPr>
        <w:t>adotado uma postura passiva frente a</w:t>
      </w:r>
      <w:r w:rsidR="0065659B" w:rsidRPr="00332D83">
        <w:rPr>
          <w:rFonts w:ascii="Times New Roman" w:hAnsi="Times New Roman" w:cs="Times New Roman"/>
          <w:sz w:val="24"/>
          <w:szCs w:val="24"/>
        </w:rPr>
        <w:t xml:space="preserve"> seu</w:t>
      </w:r>
      <w:r w:rsidR="00917FB7" w:rsidRPr="00332D83">
        <w:rPr>
          <w:rFonts w:ascii="Times New Roman" w:hAnsi="Times New Roman" w:cs="Times New Roman"/>
          <w:sz w:val="24"/>
          <w:szCs w:val="24"/>
        </w:rPr>
        <w:t>s</w:t>
      </w:r>
      <w:r w:rsidRPr="00332D83">
        <w:rPr>
          <w:rFonts w:ascii="Times New Roman" w:hAnsi="Times New Roman" w:cs="Times New Roman"/>
          <w:sz w:val="24"/>
          <w:szCs w:val="24"/>
        </w:rPr>
        <w:t xml:space="preserve"> déficit</w:t>
      </w:r>
      <w:r w:rsidR="00917FB7" w:rsidRPr="00332D83">
        <w:rPr>
          <w:rFonts w:ascii="Times New Roman" w:hAnsi="Times New Roman" w:cs="Times New Roman"/>
          <w:sz w:val="24"/>
          <w:szCs w:val="24"/>
        </w:rPr>
        <w:t>s</w:t>
      </w:r>
      <w:r w:rsidRPr="00332D83">
        <w:rPr>
          <w:rFonts w:ascii="Times New Roman" w:hAnsi="Times New Roman" w:cs="Times New Roman"/>
          <w:sz w:val="24"/>
          <w:szCs w:val="24"/>
        </w:rPr>
        <w:t xml:space="preserve"> externo</w:t>
      </w:r>
      <w:r w:rsidR="00917FB7" w:rsidRPr="00332D83">
        <w:rPr>
          <w:rFonts w:ascii="Times New Roman" w:hAnsi="Times New Roman" w:cs="Times New Roman"/>
          <w:sz w:val="24"/>
          <w:szCs w:val="24"/>
        </w:rPr>
        <w:t>s</w:t>
      </w:r>
      <w:r w:rsidRPr="00332D83">
        <w:rPr>
          <w:rFonts w:ascii="Times New Roman" w:hAnsi="Times New Roman" w:cs="Times New Roman"/>
          <w:sz w:val="24"/>
          <w:szCs w:val="24"/>
        </w:rPr>
        <w:t xml:space="preserve">. Era como </w:t>
      </w:r>
      <w:r w:rsidR="00620920" w:rsidRPr="00332D83">
        <w:rPr>
          <w:rFonts w:ascii="Times New Roman" w:hAnsi="Times New Roman" w:cs="Times New Roman"/>
          <w:sz w:val="24"/>
          <w:szCs w:val="24"/>
        </w:rPr>
        <w:t xml:space="preserve">se </w:t>
      </w:r>
      <w:r w:rsidR="00331FC0" w:rsidRPr="00332D83">
        <w:rPr>
          <w:rFonts w:ascii="Times New Roman" w:hAnsi="Times New Roman" w:cs="Times New Roman"/>
          <w:sz w:val="24"/>
          <w:szCs w:val="24"/>
        </w:rPr>
        <w:t xml:space="preserve">o governo </w:t>
      </w:r>
      <w:r w:rsidRPr="00332D83">
        <w:rPr>
          <w:rFonts w:ascii="Times New Roman" w:hAnsi="Times New Roman" w:cs="Times New Roman"/>
          <w:sz w:val="24"/>
          <w:szCs w:val="24"/>
        </w:rPr>
        <w:t>estivesse esperando o melhor momento para eliminar, de uma vez por todas, a principal restrição a ação política americana: a conversibilidade do dólar em ouro.</w:t>
      </w:r>
      <w:r w:rsidR="0065659B" w:rsidRPr="00332D83">
        <w:rPr>
          <w:rFonts w:ascii="Times New Roman" w:hAnsi="Times New Roman" w:cs="Times New Roman"/>
          <w:sz w:val="24"/>
          <w:szCs w:val="24"/>
        </w:rPr>
        <w:t xml:space="preserve"> </w:t>
      </w:r>
      <w:r w:rsidR="00436A69">
        <w:rPr>
          <w:rFonts w:ascii="Times New Roman" w:hAnsi="Times New Roman" w:cs="Times New Roman"/>
          <w:sz w:val="24"/>
          <w:szCs w:val="24"/>
        </w:rPr>
        <w:t xml:space="preserve"> </w:t>
      </w:r>
    </w:p>
    <w:p w:rsidR="00436A69" w:rsidRDefault="00C2284F" w:rsidP="00276F21">
      <w:pPr>
        <w:spacing w:line="240" w:lineRule="auto"/>
        <w:jc w:val="both"/>
        <w:rPr>
          <w:rFonts w:ascii="Times New Roman" w:hAnsi="Times New Roman" w:cs="Times New Roman"/>
          <w:color w:val="000000"/>
          <w:sz w:val="24"/>
          <w:szCs w:val="24"/>
          <w:lang w:val="en-US"/>
        </w:rPr>
      </w:pPr>
      <w:r w:rsidRPr="00332D83">
        <w:rPr>
          <w:rFonts w:ascii="Times New Roman" w:hAnsi="Times New Roman" w:cs="Times New Roman"/>
          <w:sz w:val="24"/>
          <w:szCs w:val="24"/>
        </w:rPr>
        <w:t>A ruptura de BW</w:t>
      </w:r>
      <w:r w:rsidR="00430D2C" w:rsidRPr="00332D83">
        <w:rPr>
          <w:rFonts w:ascii="Times New Roman" w:hAnsi="Times New Roman" w:cs="Times New Roman"/>
          <w:sz w:val="24"/>
          <w:szCs w:val="24"/>
        </w:rPr>
        <w:t xml:space="preserve"> e o dólar flexível foram vistos como sinais de uma perda de hegemonia por parte dos Estados Unidos. Essa situação seria evidenciada ainda pelos elevados déficits externos americanos, em um mundo de baixo crescimento e sujeito a um grande numero de crises localizadas. </w:t>
      </w:r>
      <w:proofErr w:type="spellStart"/>
      <w:r w:rsidR="0017521B" w:rsidRPr="00332D83">
        <w:rPr>
          <w:rFonts w:ascii="Times New Roman" w:hAnsi="Times New Roman" w:cs="Times New Roman"/>
          <w:sz w:val="24"/>
          <w:szCs w:val="24"/>
          <w:lang w:val="en-US"/>
        </w:rPr>
        <w:t>Entretanto</w:t>
      </w:r>
      <w:proofErr w:type="spellEnd"/>
      <w:r w:rsidR="0017521B" w:rsidRPr="00332D83">
        <w:rPr>
          <w:rFonts w:ascii="Times New Roman" w:hAnsi="Times New Roman" w:cs="Times New Roman"/>
          <w:sz w:val="24"/>
          <w:szCs w:val="24"/>
          <w:lang w:val="en-US"/>
        </w:rPr>
        <w:t xml:space="preserve">, </w:t>
      </w:r>
      <w:proofErr w:type="spellStart"/>
      <w:r w:rsidR="0017521B" w:rsidRPr="00332D83">
        <w:rPr>
          <w:rFonts w:ascii="Times New Roman" w:hAnsi="Times New Roman" w:cs="Times New Roman"/>
          <w:sz w:val="24"/>
          <w:szCs w:val="24"/>
          <w:lang w:val="en-US"/>
        </w:rPr>
        <w:t>como</w:t>
      </w:r>
      <w:proofErr w:type="spellEnd"/>
      <w:r w:rsidR="0017521B" w:rsidRPr="00332D83">
        <w:rPr>
          <w:rFonts w:ascii="Times New Roman" w:hAnsi="Times New Roman" w:cs="Times New Roman"/>
          <w:sz w:val="24"/>
          <w:szCs w:val="24"/>
          <w:lang w:val="en-US"/>
        </w:rPr>
        <w:t xml:space="preserve"> </w:t>
      </w:r>
      <w:proofErr w:type="spellStart"/>
      <w:r w:rsidR="0017521B" w:rsidRPr="00332D83">
        <w:rPr>
          <w:rFonts w:ascii="Times New Roman" w:hAnsi="Times New Roman" w:cs="Times New Roman"/>
          <w:sz w:val="24"/>
          <w:szCs w:val="24"/>
          <w:lang w:val="en-US"/>
        </w:rPr>
        <w:t>esclarece</w:t>
      </w:r>
      <w:proofErr w:type="spellEnd"/>
      <w:r w:rsidR="00865257">
        <w:rPr>
          <w:rFonts w:ascii="Times New Roman" w:hAnsi="Times New Roman" w:cs="Times New Roman"/>
          <w:sz w:val="24"/>
          <w:szCs w:val="24"/>
          <w:lang w:val="en-US"/>
        </w:rPr>
        <w:t xml:space="preserve"> Strange</w:t>
      </w:r>
      <w:r w:rsidR="00430D2C" w:rsidRPr="00332D83">
        <w:rPr>
          <w:rFonts w:ascii="Times New Roman" w:hAnsi="Times New Roman" w:cs="Times New Roman"/>
          <w:sz w:val="24"/>
          <w:szCs w:val="24"/>
          <w:lang w:val="en-US"/>
        </w:rPr>
        <w:t>: “</w:t>
      </w:r>
      <w:r w:rsidR="00430D2C" w:rsidRPr="00332D83">
        <w:rPr>
          <w:rFonts w:ascii="Times New Roman" w:hAnsi="Times New Roman" w:cs="Times New Roman"/>
          <w:i/>
          <w:color w:val="000000"/>
          <w:sz w:val="24"/>
          <w:szCs w:val="24"/>
          <w:lang w:val="en-US"/>
        </w:rPr>
        <w:t xml:space="preserve">to run a persistent deficit for a quarter of a century with impunity indicates not American weakness, but rather American Power in the system. To decide one August morning that dollars can no longer be converted into gold was a progression from exorbitant privilege to super-exorbitant privilege; the U.S. government was exercising the unconstrained right to print </w:t>
      </w:r>
      <w:r w:rsidR="006348EF" w:rsidRPr="00332D83">
        <w:rPr>
          <w:rFonts w:ascii="Times New Roman" w:hAnsi="Times New Roman" w:cs="Times New Roman"/>
          <w:i/>
          <w:color w:val="000000"/>
          <w:sz w:val="24"/>
          <w:szCs w:val="24"/>
          <w:lang w:val="en-US"/>
        </w:rPr>
        <w:t>m</w:t>
      </w:r>
      <w:r w:rsidR="00430D2C" w:rsidRPr="00332D83">
        <w:rPr>
          <w:rFonts w:ascii="Times New Roman" w:hAnsi="Times New Roman" w:cs="Times New Roman"/>
          <w:i/>
          <w:color w:val="000000"/>
          <w:sz w:val="24"/>
          <w:szCs w:val="24"/>
          <w:lang w:val="en-US"/>
        </w:rPr>
        <w:t>oney that others could not (save at unacceptable cost) refuse to accept in payment</w:t>
      </w:r>
      <w:r w:rsidR="00790210" w:rsidRPr="00332D83">
        <w:rPr>
          <w:rFonts w:ascii="Times New Roman" w:hAnsi="Times New Roman" w:cs="Times New Roman"/>
          <w:i/>
          <w:color w:val="000000"/>
          <w:sz w:val="24"/>
          <w:szCs w:val="24"/>
          <w:lang w:val="en-US"/>
        </w:rPr>
        <w:t>”</w:t>
      </w:r>
      <w:r w:rsidR="00865257">
        <w:rPr>
          <w:rFonts w:ascii="Times New Roman" w:hAnsi="Times New Roman" w:cs="Times New Roman"/>
          <w:color w:val="000000"/>
          <w:sz w:val="24"/>
          <w:szCs w:val="24"/>
          <w:lang w:val="en-US"/>
        </w:rPr>
        <w:t xml:space="preserve"> (</w:t>
      </w:r>
      <w:r w:rsidR="00865257" w:rsidRPr="00332D83">
        <w:rPr>
          <w:rFonts w:ascii="Times New Roman" w:hAnsi="Times New Roman" w:cs="Times New Roman"/>
          <w:sz w:val="24"/>
          <w:szCs w:val="24"/>
          <w:lang w:val="en-US"/>
        </w:rPr>
        <w:t>S</w:t>
      </w:r>
      <w:r w:rsidR="00865257">
        <w:rPr>
          <w:rFonts w:ascii="Times New Roman" w:hAnsi="Times New Roman" w:cs="Times New Roman"/>
          <w:sz w:val="24"/>
          <w:szCs w:val="24"/>
          <w:lang w:val="en-US"/>
        </w:rPr>
        <w:t xml:space="preserve">TRANGE, </w:t>
      </w:r>
      <w:r w:rsidR="00865257" w:rsidRPr="00332D83">
        <w:rPr>
          <w:rFonts w:ascii="Times New Roman" w:hAnsi="Times New Roman" w:cs="Times New Roman"/>
          <w:sz w:val="24"/>
          <w:szCs w:val="24"/>
          <w:lang w:val="en-US"/>
        </w:rPr>
        <w:t>1987:569)</w:t>
      </w:r>
    </w:p>
    <w:p w:rsidR="00436A69" w:rsidRDefault="00790210"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A decisão americana</w:t>
      </w:r>
      <w:r w:rsidR="00C2284F" w:rsidRPr="00332D83">
        <w:rPr>
          <w:rFonts w:ascii="Times New Roman" w:hAnsi="Times New Roman" w:cs="Times New Roman"/>
          <w:sz w:val="24"/>
          <w:szCs w:val="24"/>
        </w:rPr>
        <w:t xml:space="preserve"> levou o sistema </w:t>
      </w:r>
      <w:r w:rsidR="0010455B" w:rsidRPr="00332D83">
        <w:rPr>
          <w:rFonts w:ascii="Times New Roman" w:hAnsi="Times New Roman" w:cs="Times New Roman"/>
          <w:sz w:val="24"/>
          <w:szCs w:val="24"/>
        </w:rPr>
        <w:t xml:space="preserve">monetário e </w:t>
      </w:r>
      <w:r w:rsidR="00C2284F" w:rsidRPr="00332D83">
        <w:rPr>
          <w:rFonts w:ascii="Times New Roman" w:hAnsi="Times New Roman" w:cs="Times New Roman"/>
          <w:sz w:val="24"/>
          <w:szCs w:val="24"/>
        </w:rPr>
        <w:t xml:space="preserve">financeiro internacional a se </w:t>
      </w:r>
      <w:r w:rsidR="00A207B4">
        <w:rPr>
          <w:rFonts w:ascii="Times New Roman" w:hAnsi="Times New Roman" w:cs="Times New Roman"/>
          <w:sz w:val="24"/>
          <w:szCs w:val="24"/>
        </w:rPr>
        <w:t>re</w:t>
      </w:r>
      <w:r w:rsidR="00C2284F" w:rsidRPr="00332D83">
        <w:rPr>
          <w:rFonts w:ascii="Times New Roman" w:hAnsi="Times New Roman" w:cs="Times New Roman"/>
          <w:sz w:val="24"/>
          <w:szCs w:val="24"/>
        </w:rPr>
        <w:t>estruturar em bases novas. As taxas de câmbio tornaram-ser flexíveis e os fluxos de capitais foram inteiramente liberados. A instabilidade nas paridades pass</w:t>
      </w:r>
      <w:r w:rsidR="0010455B" w:rsidRPr="00332D83">
        <w:rPr>
          <w:rFonts w:ascii="Times New Roman" w:hAnsi="Times New Roman" w:cs="Times New Roman"/>
          <w:sz w:val="24"/>
          <w:szCs w:val="24"/>
        </w:rPr>
        <w:t>ou</w:t>
      </w:r>
      <w:r w:rsidR="00C2284F" w:rsidRPr="00332D83">
        <w:rPr>
          <w:rFonts w:ascii="Times New Roman" w:hAnsi="Times New Roman" w:cs="Times New Roman"/>
          <w:sz w:val="24"/>
          <w:szCs w:val="24"/>
        </w:rPr>
        <w:t xml:space="preserve"> a ser </w:t>
      </w:r>
      <w:r w:rsidR="0010455B" w:rsidRPr="00332D83">
        <w:rPr>
          <w:rFonts w:ascii="Times New Roman" w:hAnsi="Times New Roman" w:cs="Times New Roman"/>
          <w:sz w:val="24"/>
          <w:szCs w:val="24"/>
        </w:rPr>
        <w:t>gerenciada</w:t>
      </w:r>
      <w:r w:rsidR="00C2284F" w:rsidRPr="00332D83">
        <w:rPr>
          <w:rFonts w:ascii="Times New Roman" w:hAnsi="Times New Roman" w:cs="Times New Roman"/>
          <w:sz w:val="24"/>
          <w:szCs w:val="24"/>
        </w:rPr>
        <w:t xml:space="preserve"> </w:t>
      </w:r>
      <w:r w:rsidR="0010455B" w:rsidRPr="00332D83">
        <w:rPr>
          <w:rFonts w:ascii="Times New Roman" w:hAnsi="Times New Roman" w:cs="Times New Roman"/>
          <w:sz w:val="24"/>
          <w:szCs w:val="24"/>
        </w:rPr>
        <w:t xml:space="preserve">por meio de contratos privados de seguro, os derivativos, e </w:t>
      </w:r>
      <w:r w:rsidR="00C2284F" w:rsidRPr="00332D83">
        <w:rPr>
          <w:rFonts w:ascii="Times New Roman" w:hAnsi="Times New Roman" w:cs="Times New Roman"/>
          <w:sz w:val="24"/>
          <w:szCs w:val="24"/>
        </w:rPr>
        <w:t xml:space="preserve">não </w:t>
      </w:r>
      <w:r w:rsidR="0010455B" w:rsidRPr="00332D83">
        <w:rPr>
          <w:rFonts w:ascii="Times New Roman" w:hAnsi="Times New Roman" w:cs="Times New Roman"/>
          <w:sz w:val="24"/>
          <w:szCs w:val="24"/>
        </w:rPr>
        <w:t xml:space="preserve">mais </w:t>
      </w:r>
      <w:r w:rsidR="00C2284F" w:rsidRPr="00332D83">
        <w:rPr>
          <w:rFonts w:ascii="Times New Roman" w:hAnsi="Times New Roman" w:cs="Times New Roman"/>
          <w:sz w:val="24"/>
          <w:szCs w:val="24"/>
        </w:rPr>
        <w:t>pela garantia dos bancos centrais</w:t>
      </w:r>
      <w:r w:rsidR="0010455B" w:rsidRPr="00332D83">
        <w:rPr>
          <w:rFonts w:ascii="Times New Roman" w:hAnsi="Times New Roman" w:cs="Times New Roman"/>
          <w:sz w:val="24"/>
          <w:szCs w:val="24"/>
        </w:rPr>
        <w:t xml:space="preserve">. </w:t>
      </w:r>
      <w:r w:rsidR="00C2284F" w:rsidRPr="00332D83">
        <w:rPr>
          <w:rFonts w:ascii="Times New Roman" w:hAnsi="Times New Roman" w:cs="Times New Roman"/>
          <w:sz w:val="24"/>
          <w:szCs w:val="24"/>
        </w:rPr>
        <w:t xml:space="preserve"> </w:t>
      </w:r>
      <w:r w:rsidR="0010455B" w:rsidRPr="00332D83">
        <w:rPr>
          <w:rFonts w:ascii="Times New Roman" w:hAnsi="Times New Roman" w:cs="Times New Roman"/>
          <w:sz w:val="24"/>
          <w:szCs w:val="24"/>
        </w:rPr>
        <w:t xml:space="preserve">A intermediação bancária deu lugar à securitização de ativos. Os volumes de ativos financeiros e de alavancagem atingiram níveis impensáveis </w:t>
      </w:r>
      <w:r w:rsidR="00A207B4">
        <w:rPr>
          <w:rFonts w:ascii="Times New Roman" w:hAnsi="Times New Roman" w:cs="Times New Roman"/>
          <w:sz w:val="24"/>
          <w:szCs w:val="24"/>
        </w:rPr>
        <w:t xml:space="preserve">até então </w:t>
      </w:r>
      <w:r w:rsidR="0010455B" w:rsidRPr="00332D83">
        <w:rPr>
          <w:rFonts w:ascii="Times New Roman" w:hAnsi="Times New Roman" w:cs="Times New Roman"/>
          <w:sz w:val="24"/>
          <w:szCs w:val="24"/>
        </w:rPr>
        <w:t>(</w:t>
      </w:r>
      <w:r w:rsidR="001F6F50" w:rsidRPr="00332D83">
        <w:rPr>
          <w:rFonts w:ascii="Times New Roman" w:hAnsi="Times New Roman" w:cs="Times New Roman"/>
          <w:sz w:val="24"/>
          <w:szCs w:val="24"/>
        </w:rPr>
        <w:t>TORRES</w:t>
      </w:r>
      <w:r w:rsidR="0010455B" w:rsidRPr="00332D83">
        <w:rPr>
          <w:rFonts w:ascii="Times New Roman" w:hAnsi="Times New Roman" w:cs="Times New Roman"/>
          <w:sz w:val="24"/>
          <w:szCs w:val="24"/>
        </w:rPr>
        <w:t>, 2014)</w:t>
      </w:r>
      <w:r w:rsidR="00620920" w:rsidRPr="00332D83">
        <w:rPr>
          <w:rFonts w:ascii="Times New Roman" w:hAnsi="Times New Roman" w:cs="Times New Roman"/>
          <w:sz w:val="24"/>
          <w:szCs w:val="24"/>
        </w:rPr>
        <w:t>.</w:t>
      </w:r>
      <w:r w:rsidR="00436A69">
        <w:rPr>
          <w:rFonts w:ascii="Times New Roman" w:hAnsi="Times New Roman" w:cs="Times New Roman"/>
          <w:sz w:val="24"/>
          <w:szCs w:val="24"/>
        </w:rPr>
        <w:t xml:space="preserve"> </w:t>
      </w:r>
    </w:p>
    <w:p w:rsidR="0010455B" w:rsidRPr="00332D83" w:rsidRDefault="00C86572"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Entretanto, </w:t>
      </w:r>
      <w:r w:rsidR="0010455B" w:rsidRPr="00332D83">
        <w:rPr>
          <w:rFonts w:ascii="Times New Roman" w:hAnsi="Times New Roman" w:cs="Times New Roman"/>
          <w:sz w:val="24"/>
          <w:szCs w:val="24"/>
        </w:rPr>
        <w:t>essas transformações não foram antecipadas pelos atores que efetivaram a ruptura do sistema de BW.  A</w:t>
      </w:r>
      <w:r w:rsidRPr="00332D83">
        <w:rPr>
          <w:rFonts w:ascii="Times New Roman" w:hAnsi="Times New Roman" w:cs="Times New Roman"/>
          <w:sz w:val="24"/>
          <w:szCs w:val="24"/>
        </w:rPr>
        <w:t xml:space="preserve"> certeza </w:t>
      </w:r>
      <w:r w:rsidR="0010455B" w:rsidRPr="00332D83">
        <w:rPr>
          <w:rFonts w:ascii="Times New Roman" w:hAnsi="Times New Roman" w:cs="Times New Roman"/>
          <w:sz w:val="24"/>
          <w:szCs w:val="24"/>
        </w:rPr>
        <w:t>quanto ao</w:t>
      </w:r>
      <w:r w:rsidRPr="00332D83">
        <w:rPr>
          <w:rFonts w:ascii="Times New Roman" w:hAnsi="Times New Roman" w:cs="Times New Roman"/>
          <w:sz w:val="24"/>
          <w:szCs w:val="24"/>
        </w:rPr>
        <w:t xml:space="preserve"> rumo para o </w:t>
      </w:r>
      <w:r w:rsidR="0010455B" w:rsidRPr="00332D83">
        <w:rPr>
          <w:rFonts w:ascii="Times New Roman" w:hAnsi="Times New Roman" w:cs="Times New Roman"/>
          <w:sz w:val="24"/>
          <w:szCs w:val="24"/>
        </w:rPr>
        <w:t>re</w:t>
      </w:r>
      <w:r w:rsidRPr="00332D83">
        <w:rPr>
          <w:rFonts w:ascii="Times New Roman" w:hAnsi="Times New Roman" w:cs="Times New Roman"/>
          <w:sz w:val="24"/>
          <w:szCs w:val="24"/>
        </w:rPr>
        <w:t xml:space="preserve">ordenamento financeiro internacional não era condição prévia para que os EUA adotassem as medidas necessárias à retomada de sua hegemonia monetária. </w:t>
      </w:r>
      <w:r w:rsidR="0010455B" w:rsidRPr="00332D83">
        <w:rPr>
          <w:rFonts w:ascii="Times New Roman" w:hAnsi="Times New Roman" w:cs="Times New Roman"/>
          <w:sz w:val="24"/>
          <w:szCs w:val="24"/>
        </w:rPr>
        <w:t>O propósito era simplesmente aumentar o raio de manobra da política americana, a partir do seu poder monetário estrutural, que estava intacto. Era o início de um processo que foi posteriorm</w:t>
      </w:r>
      <w:r w:rsidR="00865257">
        <w:rPr>
          <w:rFonts w:ascii="Times New Roman" w:hAnsi="Times New Roman" w:cs="Times New Roman"/>
          <w:sz w:val="24"/>
          <w:szCs w:val="24"/>
        </w:rPr>
        <w:t>ente chamad</w:t>
      </w:r>
      <w:r w:rsidR="00B7678D">
        <w:rPr>
          <w:rFonts w:ascii="Times New Roman" w:hAnsi="Times New Roman" w:cs="Times New Roman"/>
          <w:sz w:val="24"/>
          <w:szCs w:val="24"/>
        </w:rPr>
        <w:t>o por Tavares de</w:t>
      </w:r>
      <w:r w:rsidR="0010455B" w:rsidRPr="00332D83">
        <w:rPr>
          <w:rFonts w:ascii="Times New Roman" w:hAnsi="Times New Roman" w:cs="Times New Roman"/>
          <w:sz w:val="24"/>
          <w:szCs w:val="24"/>
        </w:rPr>
        <w:t xml:space="preserve"> “</w:t>
      </w:r>
      <w:r w:rsidR="006348EF" w:rsidRPr="00332D83">
        <w:rPr>
          <w:rFonts w:ascii="Times New Roman" w:hAnsi="Times New Roman" w:cs="Times New Roman"/>
          <w:sz w:val="24"/>
          <w:szCs w:val="24"/>
        </w:rPr>
        <w:t xml:space="preserve">A </w:t>
      </w:r>
      <w:r w:rsidR="0010455B" w:rsidRPr="00332D83">
        <w:rPr>
          <w:rFonts w:ascii="Times New Roman" w:hAnsi="Times New Roman" w:cs="Times New Roman"/>
          <w:sz w:val="24"/>
          <w:szCs w:val="24"/>
        </w:rPr>
        <w:t>Retomada da Hegemonia Americana”.</w:t>
      </w:r>
      <w:r w:rsidR="00865257">
        <w:rPr>
          <w:rFonts w:ascii="Times New Roman" w:hAnsi="Times New Roman" w:cs="Times New Roman"/>
          <w:sz w:val="24"/>
          <w:szCs w:val="24"/>
        </w:rPr>
        <w:t xml:space="preserve"> (TAVARES, 1985)</w:t>
      </w:r>
    </w:p>
    <w:p w:rsidR="00D37CF7" w:rsidRPr="00862EB5" w:rsidRDefault="006E6EAE" w:rsidP="00276F21">
      <w:pPr>
        <w:pStyle w:val="PargrafodaLista"/>
        <w:tabs>
          <w:tab w:val="left" w:pos="1019"/>
        </w:tabs>
        <w:spacing w:line="240" w:lineRule="auto"/>
        <w:ind w:left="0"/>
        <w:jc w:val="both"/>
        <w:rPr>
          <w:rFonts w:ascii="Times New Roman" w:hAnsi="Times New Roman" w:cs="Times New Roman"/>
          <w:b/>
          <w:color w:val="FF0000"/>
          <w:sz w:val="24"/>
          <w:szCs w:val="24"/>
        </w:rPr>
      </w:pPr>
      <w:r w:rsidRPr="00862EB5">
        <w:rPr>
          <w:rFonts w:ascii="Times New Roman" w:hAnsi="Times New Roman" w:cs="Times New Roman"/>
          <w:b/>
          <w:sz w:val="24"/>
          <w:szCs w:val="24"/>
        </w:rPr>
        <w:t xml:space="preserve">Conclusão </w:t>
      </w:r>
    </w:p>
    <w:p w:rsidR="005B6895" w:rsidRPr="005B6895" w:rsidRDefault="005B6895" w:rsidP="005B6895">
      <w:pPr>
        <w:spacing w:line="240" w:lineRule="auto"/>
        <w:jc w:val="both"/>
        <w:rPr>
          <w:rFonts w:ascii="Times New Roman" w:hAnsi="Times New Roman" w:cs="Times New Roman"/>
          <w:sz w:val="24"/>
          <w:szCs w:val="24"/>
        </w:rPr>
      </w:pPr>
      <w:r w:rsidRPr="005B6895">
        <w:rPr>
          <w:rFonts w:ascii="Times New Roman" w:hAnsi="Times New Roman" w:cs="Times New Roman"/>
          <w:sz w:val="24"/>
          <w:szCs w:val="24"/>
        </w:rPr>
        <w:t>A Revolução Financeira Inglesa, dos séculos XVII e XVIII, produziu uma das principais transformações do sistema capitalista. Em um intervalo curto de tempo, três instituições foram integradas em um único mecanismo: a dívida pública, agora modernizada para atender condições de valorização exigidas pelo mercado de capitais; o banco central, recém-criado para dar conta da liquidez da dívida pública, dos bancos e dos mercados; e os mercados secundários de ativos, mecanismo</w:t>
      </w:r>
      <w:r w:rsidR="00F61DD9">
        <w:rPr>
          <w:rFonts w:ascii="Times New Roman" w:hAnsi="Times New Roman" w:cs="Times New Roman"/>
          <w:sz w:val="24"/>
          <w:szCs w:val="24"/>
        </w:rPr>
        <w:t xml:space="preserve"> de liquidez,</w:t>
      </w:r>
      <w:r w:rsidRPr="005B6895">
        <w:rPr>
          <w:rFonts w:ascii="Times New Roman" w:hAnsi="Times New Roman" w:cs="Times New Roman"/>
          <w:sz w:val="24"/>
          <w:szCs w:val="24"/>
        </w:rPr>
        <w:t xml:space="preserve"> que potencializa </w:t>
      </w:r>
      <w:r w:rsidR="00F61DD9">
        <w:rPr>
          <w:rFonts w:ascii="Times New Roman" w:hAnsi="Times New Roman" w:cs="Times New Roman"/>
          <w:sz w:val="24"/>
          <w:szCs w:val="24"/>
        </w:rPr>
        <w:t xml:space="preserve">a </w:t>
      </w:r>
      <w:r w:rsidRPr="005B6895">
        <w:rPr>
          <w:rFonts w:ascii="Times New Roman" w:hAnsi="Times New Roman" w:cs="Times New Roman"/>
          <w:sz w:val="24"/>
          <w:szCs w:val="24"/>
        </w:rPr>
        <w:t>ação dos outros dois.</w:t>
      </w:r>
    </w:p>
    <w:p w:rsidR="00862EB5" w:rsidRDefault="00BB3B5E"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A motivação </w:t>
      </w:r>
      <w:r w:rsidR="005B6895">
        <w:rPr>
          <w:rFonts w:ascii="Times New Roman" w:hAnsi="Times New Roman" w:cs="Times New Roman"/>
          <w:sz w:val="24"/>
          <w:szCs w:val="24"/>
        </w:rPr>
        <w:t>política</w:t>
      </w:r>
      <w:r w:rsidR="00E95742">
        <w:rPr>
          <w:rFonts w:ascii="Times New Roman" w:hAnsi="Times New Roman" w:cs="Times New Roman"/>
          <w:sz w:val="24"/>
          <w:szCs w:val="24"/>
        </w:rPr>
        <w:t xml:space="preserve"> original</w:t>
      </w:r>
      <w:r w:rsidRPr="00332D83">
        <w:rPr>
          <w:rFonts w:ascii="Times New Roman" w:hAnsi="Times New Roman" w:cs="Times New Roman"/>
          <w:sz w:val="24"/>
          <w:szCs w:val="24"/>
        </w:rPr>
        <w:t xml:space="preserve"> </w:t>
      </w:r>
      <w:r w:rsidR="00730BD4" w:rsidRPr="00332D83">
        <w:rPr>
          <w:rFonts w:ascii="Times New Roman" w:hAnsi="Times New Roman" w:cs="Times New Roman"/>
          <w:sz w:val="24"/>
          <w:szCs w:val="24"/>
        </w:rPr>
        <w:t>dessa</w:t>
      </w:r>
      <w:r w:rsidR="00E95742">
        <w:rPr>
          <w:rFonts w:ascii="Times New Roman" w:hAnsi="Times New Roman" w:cs="Times New Roman"/>
          <w:sz w:val="24"/>
          <w:szCs w:val="24"/>
        </w:rPr>
        <w:t xml:space="preserve"> inovação institucional</w:t>
      </w:r>
      <w:r w:rsidR="00730BD4" w:rsidRPr="00332D83">
        <w:rPr>
          <w:rFonts w:ascii="Times New Roman" w:hAnsi="Times New Roman" w:cs="Times New Roman"/>
          <w:sz w:val="24"/>
          <w:szCs w:val="24"/>
        </w:rPr>
        <w:t xml:space="preserve"> </w:t>
      </w:r>
      <w:r w:rsidR="00F61DD9">
        <w:rPr>
          <w:rFonts w:ascii="Times New Roman" w:hAnsi="Times New Roman" w:cs="Times New Roman"/>
          <w:sz w:val="24"/>
          <w:szCs w:val="24"/>
        </w:rPr>
        <w:t>foi</w:t>
      </w:r>
      <w:r w:rsidR="00730BD4" w:rsidRPr="00332D83">
        <w:rPr>
          <w:rFonts w:ascii="Times New Roman" w:hAnsi="Times New Roman" w:cs="Times New Roman"/>
          <w:sz w:val="24"/>
          <w:szCs w:val="24"/>
        </w:rPr>
        <w:t xml:space="preserve"> ampliar </w:t>
      </w:r>
      <w:r w:rsidR="00E95742">
        <w:rPr>
          <w:rFonts w:ascii="Times New Roman" w:hAnsi="Times New Roman" w:cs="Times New Roman"/>
          <w:sz w:val="24"/>
          <w:szCs w:val="24"/>
        </w:rPr>
        <w:t>da Inglaterra</w:t>
      </w:r>
      <w:r w:rsidR="00730BD4" w:rsidRPr="00332D83">
        <w:rPr>
          <w:rFonts w:ascii="Times New Roman" w:hAnsi="Times New Roman" w:cs="Times New Roman"/>
          <w:sz w:val="24"/>
          <w:szCs w:val="24"/>
        </w:rPr>
        <w:t xml:space="preserve"> </w:t>
      </w:r>
      <w:r w:rsidR="00E95742">
        <w:rPr>
          <w:rFonts w:ascii="Times New Roman" w:hAnsi="Times New Roman" w:cs="Times New Roman"/>
          <w:sz w:val="24"/>
          <w:szCs w:val="24"/>
        </w:rPr>
        <w:t>se financiar – e consequentemente, ganhar</w:t>
      </w:r>
      <w:r w:rsidR="00730BD4" w:rsidRPr="00332D83">
        <w:rPr>
          <w:rFonts w:ascii="Times New Roman" w:hAnsi="Times New Roman" w:cs="Times New Roman"/>
          <w:sz w:val="24"/>
          <w:szCs w:val="24"/>
        </w:rPr>
        <w:t xml:space="preserve"> – os recorrentes conflitos </w:t>
      </w:r>
      <w:r w:rsidRPr="00332D83">
        <w:rPr>
          <w:rFonts w:ascii="Times New Roman" w:hAnsi="Times New Roman" w:cs="Times New Roman"/>
          <w:sz w:val="24"/>
          <w:szCs w:val="24"/>
        </w:rPr>
        <w:t xml:space="preserve">militares </w:t>
      </w:r>
      <w:r w:rsidR="00E95742">
        <w:rPr>
          <w:rFonts w:ascii="Times New Roman" w:hAnsi="Times New Roman" w:cs="Times New Roman"/>
          <w:sz w:val="24"/>
          <w:szCs w:val="24"/>
        </w:rPr>
        <w:t xml:space="preserve">em que estava </w:t>
      </w:r>
      <w:proofErr w:type="spellStart"/>
      <w:r w:rsidR="00E95742">
        <w:rPr>
          <w:rFonts w:ascii="Times New Roman" w:hAnsi="Times New Roman" w:cs="Times New Roman"/>
          <w:sz w:val="24"/>
          <w:szCs w:val="24"/>
        </w:rPr>
        <w:t>envolvidoa</w:t>
      </w:r>
      <w:proofErr w:type="spellEnd"/>
      <w:r w:rsidR="00730BD4" w:rsidRPr="00332D83">
        <w:rPr>
          <w:rFonts w:ascii="Times New Roman" w:hAnsi="Times New Roman" w:cs="Times New Roman"/>
          <w:sz w:val="24"/>
          <w:szCs w:val="24"/>
        </w:rPr>
        <w:t>. As guerras necessitavam a mobilização de um volume muito elevado de recursos em um espaço de tempo curto</w:t>
      </w:r>
      <w:r w:rsidR="00436263" w:rsidRPr="00332D83">
        <w:rPr>
          <w:rFonts w:ascii="Times New Roman" w:hAnsi="Times New Roman" w:cs="Times New Roman"/>
          <w:sz w:val="24"/>
          <w:szCs w:val="24"/>
        </w:rPr>
        <w:t>. O</w:t>
      </w:r>
      <w:r w:rsidRPr="00332D83">
        <w:rPr>
          <w:rFonts w:ascii="Times New Roman" w:hAnsi="Times New Roman" w:cs="Times New Roman"/>
          <w:sz w:val="24"/>
          <w:szCs w:val="24"/>
        </w:rPr>
        <w:t xml:space="preserve"> simples aumento da taxação não conseguia atender </w:t>
      </w:r>
      <w:r w:rsidR="00436263" w:rsidRPr="00332D83">
        <w:rPr>
          <w:rFonts w:ascii="Times New Roman" w:hAnsi="Times New Roman" w:cs="Times New Roman"/>
          <w:sz w:val="24"/>
          <w:szCs w:val="24"/>
        </w:rPr>
        <w:t xml:space="preserve">a esses quesitos </w:t>
      </w:r>
      <w:r w:rsidRPr="00332D83">
        <w:rPr>
          <w:rFonts w:ascii="Times New Roman" w:hAnsi="Times New Roman" w:cs="Times New Roman"/>
          <w:sz w:val="24"/>
          <w:szCs w:val="24"/>
        </w:rPr>
        <w:t>na dimensão e no prazo necessário</w:t>
      </w:r>
      <w:r w:rsidR="00436263" w:rsidRPr="00332D83">
        <w:rPr>
          <w:rFonts w:ascii="Times New Roman" w:hAnsi="Times New Roman" w:cs="Times New Roman"/>
          <w:sz w:val="24"/>
          <w:szCs w:val="24"/>
        </w:rPr>
        <w:t>s</w:t>
      </w:r>
      <w:r w:rsidRPr="00332D83">
        <w:rPr>
          <w:rFonts w:ascii="Times New Roman" w:hAnsi="Times New Roman" w:cs="Times New Roman"/>
          <w:sz w:val="24"/>
          <w:szCs w:val="24"/>
        </w:rPr>
        <w:t xml:space="preserve">. O uso de outros mecanismos </w:t>
      </w:r>
      <w:r w:rsidR="00436263" w:rsidRPr="00332D83">
        <w:rPr>
          <w:rFonts w:ascii="Times New Roman" w:hAnsi="Times New Roman" w:cs="Times New Roman"/>
          <w:sz w:val="24"/>
          <w:szCs w:val="24"/>
        </w:rPr>
        <w:t xml:space="preserve">de financiamento, </w:t>
      </w:r>
      <w:r w:rsidRPr="00332D83">
        <w:rPr>
          <w:rFonts w:ascii="Times New Roman" w:hAnsi="Times New Roman" w:cs="Times New Roman"/>
          <w:sz w:val="24"/>
          <w:szCs w:val="24"/>
        </w:rPr>
        <w:t xml:space="preserve">como a redução do conteúdo metálico das moedas e os empréstimos </w:t>
      </w:r>
      <w:r w:rsidRPr="00332D83">
        <w:rPr>
          <w:rFonts w:ascii="Times New Roman" w:hAnsi="Times New Roman" w:cs="Times New Roman"/>
          <w:sz w:val="24"/>
          <w:szCs w:val="24"/>
        </w:rPr>
        <w:lastRenderedPageBreak/>
        <w:t>compulsórios</w:t>
      </w:r>
      <w:r w:rsidR="00436263" w:rsidRPr="00332D83">
        <w:rPr>
          <w:rFonts w:ascii="Times New Roman" w:hAnsi="Times New Roman" w:cs="Times New Roman"/>
          <w:sz w:val="24"/>
          <w:szCs w:val="24"/>
        </w:rPr>
        <w:t>,</w:t>
      </w:r>
      <w:r w:rsidRPr="00332D83">
        <w:rPr>
          <w:rFonts w:ascii="Times New Roman" w:hAnsi="Times New Roman" w:cs="Times New Roman"/>
          <w:sz w:val="24"/>
          <w:szCs w:val="24"/>
        </w:rPr>
        <w:t xml:space="preserve"> </w:t>
      </w:r>
      <w:r w:rsidR="00F61DD9">
        <w:rPr>
          <w:rFonts w:ascii="Times New Roman" w:hAnsi="Times New Roman" w:cs="Times New Roman"/>
          <w:sz w:val="24"/>
          <w:szCs w:val="24"/>
        </w:rPr>
        <w:t>h</w:t>
      </w:r>
      <w:r w:rsidR="00E95742">
        <w:rPr>
          <w:rFonts w:ascii="Times New Roman" w:hAnsi="Times New Roman" w:cs="Times New Roman"/>
          <w:sz w:val="24"/>
          <w:szCs w:val="24"/>
        </w:rPr>
        <w:t>avia, ao longo dos séculos anteriores,</w:t>
      </w:r>
      <w:r w:rsidR="00F61DD9">
        <w:rPr>
          <w:rFonts w:ascii="Times New Roman" w:hAnsi="Times New Roman" w:cs="Times New Roman"/>
          <w:sz w:val="24"/>
          <w:szCs w:val="24"/>
        </w:rPr>
        <w:t xml:space="preserve"> gerado</w:t>
      </w:r>
      <w:r w:rsidRPr="00332D83">
        <w:rPr>
          <w:rFonts w:ascii="Times New Roman" w:hAnsi="Times New Roman" w:cs="Times New Roman"/>
          <w:sz w:val="24"/>
          <w:szCs w:val="24"/>
        </w:rPr>
        <w:t xml:space="preserve"> impactos negativos sobre a economia</w:t>
      </w:r>
      <w:r w:rsidR="00E95742">
        <w:rPr>
          <w:rFonts w:ascii="Times New Roman" w:hAnsi="Times New Roman" w:cs="Times New Roman"/>
          <w:sz w:val="24"/>
          <w:szCs w:val="24"/>
        </w:rPr>
        <w:t>, os financiadores privados e o crédito público</w:t>
      </w:r>
    </w:p>
    <w:p w:rsidR="00862EB5" w:rsidRDefault="00BB3B5E"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O resultado da Revolução Finance</w:t>
      </w:r>
      <w:r w:rsidR="00E95742">
        <w:rPr>
          <w:rFonts w:ascii="Times New Roman" w:hAnsi="Times New Roman" w:cs="Times New Roman"/>
          <w:sz w:val="24"/>
          <w:szCs w:val="24"/>
        </w:rPr>
        <w:t>ira foi estrondoso. A Grã-Bretanha</w:t>
      </w:r>
      <w:r w:rsidRPr="00332D83">
        <w:rPr>
          <w:rFonts w:ascii="Times New Roman" w:hAnsi="Times New Roman" w:cs="Times New Roman"/>
          <w:sz w:val="24"/>
          <w:szCs w:val="24"/>
        </w:rPr>
        <w:t xml:space="preserve"> acumulou uma vantagem </w:t>
      </w:r>
      <w:r w:rsidR="00E95742">
        <w:rPr>
          <w:rFonts w:ascii="Times New Roman" w:hAnsi="Times New Roman" w:cs="Times New Roman"/>
          <w:sz w:val="24"/>
          <w:szCs w:val="24"/>
        </w:rPr>
        <w:t xml:space="preserve">em termos de mobilização de recursos financeiros </w:t>
      </w:r>
      <w:r w:rsidRPr="00332D83">
        <w:rPr>
          <w:rFonts w:ascii="Times New Roman" w:hAnsi="Times New Roman" w:cs="Times New Roman"/>
          <w:sz w:val="24"/>
          <w:szCs w:val="24"/>
        </w:rPr>
        <w:t>sobre seus opone</w:t>
      </w:r>
      <w:r w:rsidR="0044453E" w:rsidRPr="00332D83">
        <w:rPr>
          <w:rFonts w:ascii="Times New Roman" w:hAnsi="Times New Roman" w:cs="Times New Roman"/>
          <w:sz w:val="24"/>
          <w:szCs w:val="24"/>
        </w:rPr>
        <w:t xml:space="preserve">ntes que se manteve </w:t>
      </w:r>
      <w:r w:rsidRPr="00332D83">
        <w:rPr>
          <w:rFonts w:ascii="Times New Roman" w:hAnsi="Times New Roman" w:cs="Times New Roman"/>
          <w:sz w:val="24"/>
          <w:szCs w:val="24"/>
        </w:rPr>
        <w:t>até a 1ª Guerra Mundial. O crédito inglês permitiu que a aq</w:t>
      </w:r>
      <w:r w:rsidR="00E95742">
        <w:rPr>
          <w:rFonts w:ascii="Times New Roman" w:hAnsi="Times New Roman" w:cs="Times New Roman"/>
          <w:sz w:val="24"/>
          <w:szCs w:val="24"/>
        </w:rPr>
        <w:t>uisição de armas e soldados pelos ingleses</w:t>
      </w:r>
      <w:r w:rsidRPr="00332D83">
        <w:rPr>
          <w:rFonts w:ascii="Times New Roman" w:hAnsi="Times New Roman" w:cs="Times New Roman"/>
          <w:sz w:val="24"/>
          <w:szCs w:val="24"/>
        </w:rPr>
        <w:t xml:space="preserve"> se desse através da emissão de </w:t>
      </w:r>
      <w:r w:rsidR="0044453E" w:rsidRPr="00332D83">
        <w:rPr>
          <w:rFonts w:ascii="Times New Roman" w:hAnsi="Times New Roman" w:cs="Times New Roman"/>
          <w:sz w:val="24"/>
          <w:szCs w:val="24"/>
        </w:rPr>
        <w:t xml:space="preserve">títulos enquanto seus inimigos, pelo menos até Napoleão, </w:t>
      </w:r>
      <w:r w:rsidRPr="00332D83">
        <w:rPr>
          <w:rFonts w:ascii="Times New Roman" w:hAnsi="Times New Roman" w:cs="Times New Roman"/>
          <w:sz w:val="24"/>
          <w:szCs w:val="24"/>
        </w:rPr>
        <w:t>precisa</w:t>
      </w:r>
      <w:r w:rsidR="0044453E" w:rsidRPr="00332D83">
        <w:rPr>
          <w:rFonts w:ascii="Times New Roman" w:hAnsi="Times New Roman" w:cs="Times New Roman"/>
          <w:sz w:val="24"/>
          <w:szCs w:val="24"/>
        </w:rPr>
        <w:t>v</w:t>
      </w:r>
      <w:r w:rsidRPr="00332D83">
        <w:rPr>
          <w:rFonts w:ascii="Times New Roman" w:hAnsi="Times New Roman" w:cs="Times New Roman"/>
          <w:sz w:val="24"/>
          <w:szCs w:val="24"/>
        </w:rPr>
        <w:t>am recorrer ao ouro e a expropriação para atingir o mesmo objetivo.</w:t>
      </w:r>
      <w:r w:rsidR="00862EB5">
        <w:rPr>
          <w:rFonts w:ascii="Times New Roman" w:hAnsi="Times New Roman" w:cs="Times New Roman"/>
          <w:sz w:val="24"/>
          <w:szCs w:val="24"/>
        </w:rPr>
        <w:t xml:space="preserve"> </w:t>
      </w:r>
    </w:p>
    <w:p w:rsidR="00862EB5" w:rsidRDefault="00BB3B5E"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O novo arranjo monetário-f</w:t>
      </w:r>
      <w:r w:rsidR="00436263" w:rsidRPr="00332D83">
        <w:rPr>
          <w:rFonts w:ascii="Times New Roman" w:hAnsi="Times New Roman" w:cs="Times New Roman"/>
          <w:sz w:val="24"/>
          <w:szCs w:val="24"/>
        </w:rPr>
        <w:t>inanceiro</w:t>
      </w:r>
      <w:r w:rsidRPr="00332D83">
        <w:rPr>
          <w:rFonts w:ascii="Times New Roman" w:hAnsi="Times New Roman" w:cs="Times New Roman"/>
          <w:sz w:val="24"/>
          <w:szCs w:val="24"/>
        </w:rPr>
        <w:t xml:space="preserve"> também conquistou</w:t>
      </w:r>
      <w:r w:rsidR="00436263" w:rsidRPr="00332D83">
        <w:rPr>
          <w:rFonts w:ascii="Times New Roman" w:hAnsi="Times New Roman" w:cs="Times New Roman"/>
          <w:sz w:val="24"/>
          <w:szCs w:val="24"/>
        </w:rPr>
        <w:t xml:space="preserve"> para a Inglaterra</w:t>
      </w:r>
      <w:r w:rsidRPr="00332D83">
        <w:rPr>
          <w:rFonts w:ascii="Times New Roman" w:hAnsi="Times New Roman" w:cs="Times New Roman"/>
          <w:sz w:val="24"/>
          <w:szCs w:val="24"/>
        </w:rPr>
        <w:t xml:space="preserve"> uma posição central nas finanças internacionais. Londres passou a ser a </w:t>
      </w:r>
      <w:r w:rsidR="00E95742">
        <w:rPr>
          <w:rFonts w:ascii="Times New Roman" w:hAnsi="Times New Roman" w:cs="Times New Roman"/>
          <w:sz w:val="24"/>
          <w:szCs w:val="24"/>
        </w:rPr>
        <w:t>principal praça</w:t>
      </w:r>
      <w:r w:rsidRPr="00332D83">
        <w:rPr>
          <w:rFonts w:ascii="Times New Roman" w:hAnsi="Times New Roman" w:cs="Times New Roman"/>
          <w:sz w:val="24"/>
          <w:szCs w:val="24"/>
        </w:rPr>
        <w:t xml:space="preserve"> financeira </w:t>
      </w:r>
      <w:r w:rsidR="00E95742">
        <w:rPr>
          <w:rFonts w:ascii="Times New Roman" w:hAnsi="Times New Roman" w:cs="Times New Roman"/>
          <w:sz w:val="24"/>
          <w:szCs w:val="24"/>
        </w:rPr>
        <w:t>internacional</w:t>
      </w:r>
      <w:bookmarkStart w:id="0" w:name="_GoBack"/>
      <w:bookmarkEnd w:id="0"/>
      <w:r w:rsidRPr="00332D83">
        <w:rPr>
          <w:rFonts w:ascii="Times New Roman" w:hAnsi="Times New Roman" w:cs="Times New Roman"/>
          <w:sz w:val="24"/>
          <w:szCs w:val="24"/>
        </w:rPr>
        <w:t xml:space="preserve">, centralizando o financiamento do comércio global, do investimento </w:t>
      </w:r>
      <w:r w:rsidR="00620CED" w:rsidRPr="00332D83">
        <w:rPr>
          <w:rFonts w:ascii="Times New Roman" w:hAnsi="Times New Roman" w:cs="Times New Roman"/>
          <w:sz w:val="24"/>
          <w:szCs w:val="24"/>
        </w:rPr>
        <w:t>externo e da dívida pública de outros países. Isso permitiu o surgimento de segmento</w:t>
      </w:r>
      <w:r w:rsidR="0044453E" w:rsidRPr="00332D83">
        <w:rPr>
          <w:rFonts w:ascii="Times New Roman" w:hAnsi="Times New Roman" w:cs="Times New Roman"/>
          <w:sz w:val="24"/>
          <w:szCs w:val="24"/>
        </w:rPr>
        <w:t xml:space="preserve">s especializados que </w:t>
      </w:r>
      <w:r w:rsidR="00620CED" w:rsidRPr="00332D83">
        <w:rPr>
          <w:rFonts w:ascii="Times New Roman" w:hAnsi="Times New Roman" w:cs="Times New Roman"/>
          <w:sz w:val="24"/>
          <w:szCs w:val="24"/>
        </w:rPr>
        <w:t>provia</w:t>
      </w:r>
      <w:r w:rsidR="0044453E" w:rsidRPr="00332D83">
        <w:rPr>
          <w:rFonts w:ascii="Times New Roman" w:hAnsi="Times New Roman" w:cs="Times New Roman"/>
          <w:sz w:val="24"/>
          <w:szCs w:val="24"/>
        </w:rPr>
        <w:t>m</w:t>
      </w:r>
      <w:r w:rsidR="00620CED" w:rsidRPr="00332D83">
        <w:rPr>
          <w:rFonts w:ascii="Times New Roman" w:hAnsi="Times New Roman" w:cs="Times New Roman"/>
          <w:sz w:val="24"/>
          <w:szCs w:val="24"/>
        </w:rPr>
        <w:t xml:space="preserve"> </w:t>
      </w:r>
      <w:r w:rsidR="0044453E" w:rsidRPr="00332D83">
        <w:rPr>
          <w:rFonts w:ascii="Times New Roman" w:hAnsi="Times New Roman" w:cs="Times New Roman"/>
          <w:sz w:val="24"/>
          <w:szCs w:val="24"/>
        </w:rPr>
        <w:t xml:space="preserve">ao resto do mundo </w:t>
      </w:r>
      <w:r w:rsidR="00620CED" w:rsidRPr="00332D83">
        <w:rPr>
          <w:rFonts w:ascii="Times New Roman" w:hAnsi="Times New Roman" w:cs="Times New Roman"/>
          <w:sz w:val="24"/>
          <w:szCs w:val="24"/>
        </w:rPr>
        <w:t xml:space="preserve">serviços </w:t>
      </w:r>
      <w:r w:rsidR="0044453E" w:rsidRPr="00332D83">
        <w:rPr>
          <w:rFonts w:ascii="Times New Roman" w:hAnsi="Times New Roman" w:cs="Times New Roman"/>
          <w:sz w:val="24"/>
          <w:szCs w:val="24"/>
        </w:rPr>
        <w:t xml:space="preserve">financeiros </w:t>
      </w:r>
      <w:r w:rsidR="00620CED" w:rsidRPr="00332D83">
        <w:rPr>
          <w:rFonts w:ascii="Times New Roman" w:hAnsi="Times New Roman" w:cs="Times New Roman"/>
          <w:sz w:val="24"/>
          <w:szCs w:val="24"/>
        </w:rPr>
        <w:t>a preços e taxas de juros muito competitivos. A libra esterlina, por sua vez, passou a denominar a maior parte desses ativos e ser a moeda de liquidação preferida nas transações internacionais.</w:t>
      </w:r>
      <w:r w:rsidR="00862EB5">
        <w:rPr>
          <w:rFonts w:ascii="Times New Roman" w:hAnsi="Times New Roman" w:cs="Times New Roman"/>
          <w:sz w:val="24"/>
          <w:szCs w:val="24"/>
        </w:rPr>
        <w:t xml:space="preserve"> </w:t>
      </w:r>
    </w:p>
    <w:p w:rsidR="00862EB5" w:rsidRDefault="00620CED"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Os mecanismos institucionais desenvolvidos pelos ingleses foram sendo emulados p</w:t>
      </w:r>
      <w:r w:rsidR="0044453E" w:rsidRPr="00332D83">
        <w:rPr>
          <w:rFonts w:ascii="Times New Roman" w:hAnsi="Times New Roman" w:cs="Times New Roman"/>
          <w:sz w:val="24"/>
          <w:szCs w:val="24"/>
        </w:rPr>
        <w:t>or</w:t>
      </w:r>
      <w:r w:rsidRPr="00332D83">
        <w:rPr>
          <w:rFonts w:ascii="Times New Roman" w:hAnsi="Times New Roman" w:cs="Times New Roman"/>
          <w:sz w:val="24"/>
          <w:szCs w:val="24"/>
        </w:rPr>
        <w:t xml:space="preserve"> seus rivais. A partir de 1870, os principais sistemas monetário-financeiros </w:t>
      </w:r>
      <w:r w:rsidR="0044453E" w:rsidRPr="00332D83">
        <w:rPr>
          <w:rFonts w:ascii="Times New Roman" w:hAnsi="Times New Roman" w:cs="Times New Roman"/>
          <w:sz w:val="24"/>
          <w:szCs w:val="24"/>
        </w:rPr>
        <w:t xml:space="preserve">das </w:t>
      </w:r>
      <w:r w:rsidR="00C147E9" w:rsidRPr="00332D83">
        <w:rPr>
          <w:rFonts w:ascii="Times New Roman" w:hAnsi="Times New Roman" w:cs="Times New Roman"/>
          <w:sz w:val="24"/>
          <w:szCs w:val="24"/>
        </w:rPr>
        <w:t xml:space="preserve">nações </w:t>
      </w:r>
      <w:r w:rsidR="00436263" w:rsidRPr="00332D83">
        <w:rPr>
          <w:rFonts w:ascii="Times New Roman" w:hAnsi="Times New Roman" w:cs="Times New Roman"/>
          <w:sz w:val="24"/>
          <w:szCs w:val="24"/>
        </w:rPr>
        <w:t xml:space="preserve">relevantes </w:t>
      </w:r>
      <w:r w:rsidRPr="00332D83">
        <w:rPr>
          <w:rFonts w:ascii="Times New Roman" w:hAnsi="Times New Roman" w:cs="Times New Roman"/>
          <w:sz w:val="24"/>
          <w:szCs w:val="24"/>
        </w:rPr>
        <w:t xml:space="preserve">foram se integrando ao inglês, por meio da adoção do padrão ouro. Em nenhum dos casos, essa decisão foi feita por força de coerção ou de qualquer outra forma de imposição por parte da Inglaterra. A aceitação do padrão ouro foi sempre unilateral e relacionada às vantagens </w:t>
      </w:r>
      <w:r w:rsidR="00436263" w:rsidRPr="00332D83">
        <w:rPr>
          <w:rFonts w:ascii="Times New Roman" w:hAnsi="Times New Roman" w:cs="Times New Roman"/>
          <w:sz w:val="24"/>
          <w:szCs w:val="24"/>
        </w:rPr>
        <w:t xml:space="preserve">esperadas </w:t>
      </w:r>
      <w:r w:rsidRPr="00332D83">
        <w:rPr>
          <w:rFonts w:ascii="Times New Roman" w:hAnsi="Times New Roman" w:cs="Times New Roman"/>
          <w:sz w:val="24"/>
          <w:szCs w:val="24"/>
        </w:rPr>
        <w:t xml:space="preserve">em termos de taxas de juros e prazos. Adotar o ouro como lastro da moeda nacional era uma forma de o país adquirir uma condição de baixo risco de crédito, a exemplo do que acontece </w:t>
      </w:r>
      <w:r w:rsidR="0017521B" w:rsidRPr="00332D83">
        <w:rPr>
          <w:rFonts w:ascii="Times New Roman" w:hAnsi="Times New Roman" w:cs="Times New Roman"/>
          <w:sz w:val="24"/>
          <w:szCs w:val="24"/>
        </w:rPr>
        <w:t xml:space="preserve">nos dias de hoje </w:t>
      </w:r>
      <w:r w:rsidRPr="00332D83">
        <w:rPr>
          <w:rFonts w:ascii="Times New Roman" w:hAnsi="Times New Roman" w:cs="Times New Roman"/>
          <w:sz w:val="24"/>
          <w:szCs w:val="24"/>
        </w:rPr>
        <w:t xml:space="preserve">com </w:t>
      </w:r>
      <w:r w:rsidR="0017521B" w:rsidRPr="00332D83">
        <w:rPr>
          <w:rFonts w:ascii="Times New Roman" w:hAnsi="Times New Roman" w:cs="Times New Roman"/>
          <w:sz w:val="24"/>
          <w:szCs w:val="24"/>
        </w:rPr>
        <w:t>a preocupação de países para obterem os</w:t>
      </w:r>
      <w:r w:rsidR="00436263" w:rsidRPr="00332D83">
        <w:rPr>
          <w:rFonts w:ascii="Times New Roman" w:hAnsi="Times New Roman" w:cs="Times New Roman"/>
          <w:sz w:val="24"/>
          <w:szCs w:val="24"/>
        </w:rPr>
        <w:t xml:space="preserve"> melhores </w:t>
      </w:r>
      <w:r w:rsidRPr="00332D83">
        <w:rPr>
          <w:rFonts w:ascii="Times New Roman" w:hAnsi="Times New Roman" w:cs="Times New Roman"/>
          <w:i/>
          <w:sz w:val="24"/>
          <w:szCs w:val="24"/>
        </w:rPr>
        <w:t>rating</w:t>
      </w:r>
      <w:r w:rsidR="0017521B" w:rsidRPr="00332D83">
        <w:rPr>
          <w:rFonts w:ascii="Times New Roman" w:hAnsi="Times New Roman" w:cs="Times New Roman"/>
          <w:i/>
          <w:sz w:val="24"/>
          <w:szCs w:val="24"/>
        </w:rPr>
        <w:t>s</w:t>
      </w:r>
      <w:r w:rsidRPr="00332D83">
        <w:rPr>
          <w:rFonts w:ascii="Times New Roman" w:hAnsi="Times New Roman" w:cs="Times New Roman"/>
          <w:sz w:val="24"/>
          <w:szCs w:val="24"/>
        </w:rPr>
        <w:t xml:space="preserve"> das classificadoras de risco internacionais. </w:t>
      </w:r>
    </w:p>
    <w:p w:rsidR="002B7E34" w:rsidRPr="00332D83" w:rsidRDefault="00A207B4" w:rsidP="00276F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Não há </w:t>
      </w:r>
      <w:r w:rsidR="002B7E34" w:rsidRPr="00332D83">
        <w:rPr>
          <w:rFonts w:ascii="Times New Roman" w:hAnsi="Times New Roman" w:cs="Times New Roman"/>
          <w:sz w:val="24"/>
          <w:szCs w:val="24"/>
        </w:rPr>
        <w:t>evidência</w:t>
      </w:r>
      <w:r w:rsidR="00620CED" w:rsidRPr="00332D83">
        <w:rPr>
          <w:rFonts w:ascii="Times New Roman" w:hAnsi="Times New Roman" w:cs="Times New Roman"/>
          <w:sz w:val="24"/>
          <w:szCs w:val="24"/>
        </w:rPr>
        <w:t xml:space="preserve"> </w:t>
      </w:r>
      <w:r w:rsidR="00436263" w:rsidRPr="00332D83">
        <w:rPr>
          <w:rFonts w:ascii="Times New Roman" w:hAnsi="Times New Roman" w:cs="Times New Roman"/>
          <w:sz w:val="24"/>
          <w:szCs w:val="24"/>
        </w:rPr>
        <w:t xml:space="preserve">de que, </w:t>
      </w:r>
      <w:r>
        <w:rPr>
          <w:rFonts w:ascii="Times New Roman" w:hAnsi="Times New Roman" w:cs="Times New Roman"/>
          <w:sz w:val="24"/>
          <w:szCs w:val="24"/>
        </w:rPr>
        <w:t>n</w:t>
      </w:r>
      <w:r w:rsidR="00620CED" w:rsidRPr="00332D83">
        <w:rPr>
          <w:rFonts w:ascii="Times New Roman" w:hAnsi="Times New Roman" w:cs="Times New Roman"/>
          <w:sz w:val="24"/>
          <w:szCs w:val="24"/>
        </w:rPr>
        <w:t>o</w:t>
      </w:r>
      <w:r w:rsidR="002B7E34" w:rsidRPr="00332D83">
        <w:rPr>
          <w:rFonts w:ascii="Times New Roman" w:hAnsi="Times New Roman" w:cs="Times New Roman"/>
          <w:sz w:val="24"/>
          <w:szCs w:val="24"/>
        </w:rPr>
        <w:t xml:space="preserve"> padrão ouro</w:t>
      </w:r>
      <w:r w:rsidR="00436263" w:rsidRPr="00332D83">
        <w:rPr>
          <w:rFonts w:ascii="Times New Roman" w:hAnsi="Times New Roman" w:cs="Times New Roman"/>
          <w:sz w:val="24"/>
          <w:szCs w:val="24"/>
        </w:rPr>
        <w:t xml:space="preserve">, </w:t>
      </w:r>
      <w:r w:rsidR="00620CED" w:rsidRPr="00332D83">
        <w:rPr>
          <w:rFonts w:ascii="Times New Roman" w:hAnsi="Times New Roman" w:cs="Times New Roman"/>
          <w:sz w:val="24"/>
          <w:szCs w:val="24"/>
        </w:rPr>
        <w:t>a Inglaterra tenha exercido um papel hegemônico</w:t>
      </w:r>
      <w:r w:rsidR="00422671" w:rsidRPr="00332D83">
        <w:rPr>
          <w:rFonts w:ascii="Times New Roman" w:hAnsi="Times New Roman" w:cs="Times New Roman"/>
          <w:sz w:val="24"/>
          <w:szCs w:val="24"/>
        </w:rPr>
        <w:t xml:space="preserve"> do ponto de vista monetário</w:t>
      </w:r>
      <w:r w:rsidR="00620CED" w:rsidRPr="00332D83">
        <w:rPr>
          <w:rFonts w:ascii="Times New Roman" w:hAnsi="Times New Roman" w:cs="Times New Roman"/>
          <w:sz w:val="24"/>
          <w:szCs w:val="24"/>
        </w:rPr>
        <w:t xml:space="preserve"> ou que </w:t>
      </w:r>
      <w:r w:rsidR="002B7E34" w:rsidRPr="00332D83">
        <w:rPr>
          <w:rFonts w:ascii="Times New Roman" w:hAnsi="Times New Roman" w:cs="Times New Roman"/>
          <w:sz w:val="24"/>
          <w:szCs w:val="24"/>
        </w:rPr>
        <w:t>a montagem desse primeiro</w:t>
      </w:r>
      <w:r w:rsidR="00620CED" w:rsidRPr="00332D83">
        <w:rPr>
          <w:rFonts w:ascii="Times New Roman" w:hAnsi="Times New Roman" w:cs="Times New Roman"/>
          <w:sz w:val="24"/>
          <w:szCs w:val="24"/>
        </w:rPr>
        <w:t xml:space="preserve"> sistema </w:t>
      </w:r>
      <w:r w:rsidR="002B7E34" w:rsidRPr="00332D83">
        <w:rPr>
          <w:rFonts w:ascii="Times New Roman" w:hAnsi="Times New Roman" w:cs="Times New Roman"/>
          <w:sz w:val="24"/>
          <w:szCs w:val="24"/>
        </w:rPr>
        <w:t xml:space="preserve">monetário internacional moderno </w:t>
      </w:r>
      <w:r w:rsidR="00436263" w:rsidRPr="00332D83">
        <w:rPr>
          <w:rFonts w:ascii="Times New Roman" w:hAnsi="Times New Roman" w:cs="Times New Roman"/>
          <w:sz w:val="24"/>
          <w:szCs w:val="24"/>
        </w:rPr>
        <w:t>tenha sido o</w:t>
      </w:r>
      <w:r w:rsidR="00620CED" w:rsidRPr="00332D83">
        <w:rPr>
          <w:rFonts w:ascii="Times New Roman" w:hAnsi="Times New Roman" w:cs="Times New Roman"/>
          <w:sz w:val="24"/>
          <w:szCs w:val="24"/>
        </w:rPr>
        <w:t xml:space="preserve"> resultado </w:t>
      </w:r>
      <w:r w:rsidR="002B7E34" w:rsidRPr="00332D83">
        <w:rPr>
          <w:rFonts w:ascii="Times New Roman" w:hAnsi="Times New Roman" w:cs="Times New Roman"/>
          <w:sz w:val="24"/>
          <w:szCs w:val="24"/>
        </w:rPr>
        <w:t>do exercício de</w:t>
      </w:r>
      <w:r w:rsidR="00436263" w:rsidRPr="00332D83">
        <w:rPr>
          <w:rFonts w:ascii="Times New Roman" w:hAnsi="Times New Roman" w:cs="Times New Roman"/>
          <w:sz w:val="24"/>
          <w:szCs w:val="24"/>
        </w:rPr>
        <w:t xml:space="preserve"> seu poder estrutural</w:t>
      </w:r>
      <w:r w:rsidR="00422671" w:rsidRPr="00332D83">
        <w:rPr>
          <w:rFonts w:ascii="Times New Roman" w:hAnsi="Times New Roman" w:cs="Times New Roman"/>
          <w:sz w:val="24"/>
          <w:szCs w:val="24"/>
        </w:rPr>
        <w:t xml:space="preserve">. A centralidade da City e da libra esterlina </w:t>
      </w:r>
      <w:r w:rsidR="0017521B" w:rsidRPr="00332D83">
        <w:rPr>
          <w:rFonts w:ascii="Times New Roman" w:hAnsi="Times New Roman" w:cs="Times New Roman"/>
          <w:sz w:val="24"/>
          <w:szCs w:val="24"/>
        </w:rPr>
        <w:t>atribuíram</w:t>
      </w:r>
      <w:r w:rsidR="00422671" w:rsidRPr="00332D83">
        <w:rPr>
          <w:rFonts w:ascii="Times New Roman" w:hAnsi="Times New Roman" w:cs="Times New Roman"/>
          <w:sz w:val="24"/>
          <w:szCs w:val="24"/>
        </w:rPr>
        <w:t xml:space="preserve"> ao </w:t>
      </w:r>
      <w:r w:rsidR="002B7E34" w:rsidRPr="00332D83">
        <w:rPr>
          <w:rFonts w:ascii="Times New Roman" w:hAnsi="Times New Roman" w:cs="Times New Roman"/>
          <w:sz w:val="24"/>
          <w:szCs w:val="24"/>
        </w:rPr>
        <w:t>Banco do Inglaterra</w:t>
      </w:r>
      <w:r w:rsidR="00422671" w:rsidRPr="00332D83">
        <w:rPr>
          <w:rFonts w:ascii="Times New Roman" w:hAnsi="Times New Roman" w:cs="Times New Roman"/>
          <w:sz w:val="24"/>
          <w:szCs w:val="24"/>
        </w:rPr>
        <w:t xml:space="preserve"> um papel </w:t>
      </w:r>
      <w:r w:rsidR="002B7E34" w:rsidRPr="00332D83">
        <w:rPr>
          <w:rFonts w:ascii="Times New Roman" w:hAnsi="Times New Roman" w:cs="Times New Roman"/>
          <w:sz w:val="24"/>
          <w:szCs w:val="24"/>
        </w:rPr>
        <w:t>dominante na governança do</w:t>
      </w:r>
      <w:r w:rsidR="00422671" w:rsidRPr="00332D83">
        <w:rPr>
          <w:rFonts w:ascii="Times New Roman" w:hAnsi="Times New Roman" w:cs="Times New Roman"/>
          <w:sz w:val="24"/>
          <w:szCs w:val="24"/>
        </w:rPr>
        <w:t xml:space="preserve"> sistema e resultava</w:t>
      </w:r>
      <w:r w:rsidR="002B7E34" w:rsidRPr="00332D83">
        <w:rPr>
          <w:rFonts w:ascii="Times New Roman" w:hAnsi="Times New Roman" w:cs="Times New Roman"/>
          <w:sz w:val="24"/>
          <w:szCs w:val="24"/>
        </w:rPr>
        <w:t>m</w:t>
      </w:r>
      <w:r w:rsidR="00422671" w:rsidRPr="00332D83">
        <w:rPr>
          <w:rFonts w:ascii="Times New Roman" w:hAnsi="Times New Roman" w:cs="Times New Roman"/>
          <w:sz w:val="24"/>
          <w:szCs w:val="24"/>
        </w:rPr>
        <w:t xml:space="preserve"> em </w:t>
      </w:r>
      <w:r w:rsidR="002B7E34" w:rsidRPr="00332D83">
        <w:rPr>
          <w:rFonts w:ascii="Times New Roman" w:hAnsi="Times New Roman" w:cs="Times New Roman"/>
          <w:sz w:val="24"/>
          <w:szCs w:val="24"/>
        </w:rPr>
        <w:t>vantagens para os ingleses em termos de taxas de juros e de custo de ajustamento.</w:t>
      </w:r>
      <w:r>
        <w:rPr>
          <w:rFonts w:ascii="Times New Roman" w:hAnsi="Times New Roman" w:cs="Times New Roman"/>
          <w:sz w:val="24"/>
          <w:szCs w:val="24"/>
        </w:rPr>
        <w:t xml:space="preserve"> Do mesmo modo, quando o padrão ouro se tornou d</w:t>
      </w:r>
      <w:r w:rsidR="005B6895">
        <w:rPr>
          <w:rFonts w:ascii="Times New Roman" w:hAnsi="Times New Roman" w:cs="Times New Roman"/>
          <w:sz w:val="24"/>
          <w:szCs w:val="24"/>
        </w:rPr>
        <w:t>is</w:t>
      </w:r>
      <w:r>
        <w:rPr>
          <w:rFonts w:ascii="Times New Roman" w:hAnsi="Times New Roman" w:cs="Times New Roman"/>
          <w:sz w:val="24"/>
          <w:szCs w:val="24"/>
        </w:rPr>
        <w:t>funcional para os ingleses, os britânicos também não conseguiram impor ao resto do mundo um novo padrão que, ao mesmo tempo, reguardasse a centralidade da libra e os interesses do país.</w:t>
      </w:r>
    </w:p>
    <w:p w:rsidR="00AC4F58" w:rsidRPr="00332D83" w:rsidRDefault="002B7E34"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Esse cenário guarda pouca semelhança com a origem do sistema monetário baseado no dólar</w:t>
      </w:r>
      <w:r w:rsidR="00436263" w:rsidRPr="00332D83">
        <w:rPr>
          <w:rFonts w:ascii="Times New Roman" w:hAnsi="Times New Roman" w:cs="Times New Roman"/>
          <w:sz w:val="24"/>
          <w:szCs w:val="24"/>
        </w:rPr>
        <w:t xml:space="preserve">, </w:t>
      </w:r>
      <w:r w:rsidRPr="00332D83">
        <w:rPr>
          <w:rFonts w:ascii="Times New Roman" w:hAnsi="Times New Roman" w:cs="Times New Roman"/>
          <w:sz w:val="24"/>
          <w:szCs w:val="24"/>
        </w:rPr>
        <w:t>implantado a partir de 1945. Ess</w:t>
      </w:r>
      <w:r w:rsidR="00436263" w:rsidRPr="00332D83">
        <w:rPr>
          <w:rFonts w:ascii="Times New Roman" w:hAnsi="Times New Roman" w:cs="Times New Roman"/>
          <w:sz w:val="24"/>
          <w:szCs w:val="24"/>
        </w:rPr>
        <w:t>e</w:t>
      </w:r>
      <w:r w:rsidRPr="00332D83">
        <w:rPr>
          <w:rFonts w:ascii="Times New Roman" w:hAnsi="Times New Roman" w:cs="Times New Roman"/>
          <w:sz w:val="24"/>
          <w:szCs w:val="24"/>
        </w:rPr>
        <w:t xml:space="preserve"> </w:t>
      </w:r>
      <w:r w:rsidR="00436263" w:rsidRPr="00332D83">
        <w:rPr>
          <w:rFonts w:ascii="Times New Roman" w:hAnsi="Times New Roman" w:cs="Times New Roman"/>
          <w:sz w:val="24"/>
          <w:szCs w:val="24"/>
        </w:rPr>
        <w:t>episódio</w:t>
      </w:r>
      <w:r w:rsidRPr="00332D83">
        <w:rPr>
          <w:rFonts w:ascii="Times New Roman" w:hAnsi="Times New Roman" w:cs="Times New Roman"/>
          <w:sz w:val="24"/>
          <w:szCs w:val="24"/>
        </w:rPr>
        <w:t xml:space="preserve"> não </w:t>
      </w:r>
      <w:r w:rsidR="00436263" w:rsidRPr="00332D83">
        <w:rPr>
          <w:rFonts w:ascii="Times New Roman" w:hAnsi="Times New Roman" w:cs="Times New Roman"/>
          <w:sz w:val="24"/>
          <w:szCs w:val="24"/>
        </w:rPr>
        <w:t>foi</w:t>
      </w:r>
      <w:r w:rsidRPr="00332D83">
        <w:rPr>
          <w:rFonts w:ascii="Times New Roman" w:hAnsi="Times New Roman" w:cs="Times New Roman"/>
          <w:sz w:val="24"/>
          <w:szCs w:val="24"/>
        </w:rPr>
        <w:t xml:space="preserve"> uma simples “mudança de guarda” em que uma nova moeda – a americana – e um novo </w:t>
      </w:r>
      <w:proofErr w:type="spellStart"/>
      <w:r w:rsidRPr="00332D83">
        <w:rPr>
          <w:rFonts w:ascii="Times New Roman" w:hAnsi="Times New Roman" w:cs="Times New Roman"/>
          <w:i/>
          <w:sz w:val="24"/>
          <w:szCs w:val="24"/>
        </w:rPr>
        <w:t>hegemon</w:t>
      </w:r>
      <w:proofErr w:type="spellEnd"/>
      <w:r w:rsidRPr="00332D83">
        <w:rPr>
          <w:rFonts w:ascii="Times New Roman" w:hAnsi="Times New Roman" w:cs="Times New Roman"/>
          <w:sz w:val="24"/>
          <w:szCs w:val="24"/>
        </w:rPr>
        <w:t xml:space="preserve"> </w:t>
      </w:r>
      <w:r w:rsidR="00436263" w:rsidRPr="00332D83">
        <w:rPr>
          <w:rFonts w:ascii="Times New Roman" w:hAnsi="Times New Roman" w:cs="Times New Roman"/>
          <w:sz w:val="24"/>
          <w:szCs w:val="24"/>
        </w:rPr>
        <w:t xml:space="preserve">– os Estados Unidos - tomaram </w:t>
      </w:r>
      <w:r w:rsidR="0044453E" w:rsidRPr="00332D83">
        <w:rPr>
          <w:rFonts w:ascii="Times New Roman" w:hAnsi="Times New Roman" w:cs="Times New Roman"/>
          <w:sz w:val="24"/>
          <w:szCs w:val="24"/>
        </w:rPr>
        <w:t xml:space="preserve">a </w:t>
      </w:r>
      <w:r w:rsidR="0017521B" w:rsidRPr="00332D83">
        <w:rPr>
          <w:rFonts w:ascii="Times New Roman" w:hAnsi="Times New Roman" w:cs="Times New Roman"/>
          <w:sz w:val="24"/>
          <w:szCs w:val="24"/>
        </w:rPr>
        <w:t xml:space="preserve">liderança </w:t>
      </w:r>
      <w:r w:rsidR="0044453E" w:rsidRPr="00332D83">
        <w:rPr>
          <w:rFonts w:ascii="Times New Roman" w:hAnsi="Times New Roman" w:cs="Times New Roman"/>
          <w:sz w:val="24"/>
          <w:szCs w:val="24"/>
        </w:rPr>
        <w:t>a</w:t>
      </w:r>
      <w:r w:rsidR="0017521B" w:rsidRPr="00332D83">
        <w:rPr>
          <w:rFonts w:ascii="Times New Roman" w:hAnsi="Times New Roman" w:cs="Times New Roman"/>
          <w:sz w:val="24"/>
          <w:szCs w:val="24"/>
        </w:rPr>
        <w:t>ntes ocupada pela libra e pela Inglaterra</w:t>
      </w:r>
      <w:r w:rsidR="00771B61" w:rsidRPr="00332D83">
        <w:rPr>
          <w:rFonts w:ascii="Times New Roman" w:hAnsi="Times New Roman" w:cs="Times New Roman"/>
          <w:sz w:val="24"/>
          <w:szCs w:val="24"/>
        </w:rPr>
        <w:t>. A montagem do primeiro sistema baseado no dólar, com taxas de câmbio fixas, foi o resultado de uma operação do Estado Nacional american</w:t>
      </w:r>
      <w:r w:rsidR="00AC4F58" w:rsidRPr="00332D83">
        <w:rPr>
          <w:rFonts w:ascii="Times New Roman" w:hAnsi="Times New Roman" w:cs="Times New Roman"/>
          <w:sz w:val="24"/>
          <w:szCs w:val="24"/>
        </w:rPr>
        <w:t>o</w:t>
      </w:r>
      <w:r w:rsidR="00771B61" w:rsidRPr="00332D83">
        <w:rPr>
          <w:rFonts w:ascii="Times New Roman" w:hAnsi="Times New Roman" w:cs="Times New Roman"/>
          <w:sz w:val="24"/>
          <w:szCs w:val="24"/>
        </w:rPr>
        <w:t xml:space="preserve"> que se iniciou concomitantemente com </w:t>
      </w:r>
      <w:r w:rsidR="00AC4F58" w:rsidRPr="00332D83">
        <w:rPr>
          <w:rFonts w:ascii="Times New Roman" w:hAnsi="Times New Roman" w:cs="Times New Roman"/>
          <w:sz w:val="24"/>
          <w:szCs w:val="24"/>
        </w:rPr>
        <w:t>sua</w:t>
      </w:r>
      <w:r w:rsidR="00771B61" w:rsidRPr="00332D83">
        <w:rPr>
          <w:rFonts w:ascii="Times New Roman" w:hAnsi="Times New Roman" w:cs="Times New Roman"/>
          <w:sz w:val="24"/>
          <w:szCs w:val="24"/>
        </w:rPr>
        <w:t xml:space="preserve"> entrada na 2ª Guerra.</w:t>
      </w:r>
    </w:p>
    <w:p w:rsidR="00862EB5" w:rsidRDefault="00771B61"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 O apoio financeiro ao esforço de guerra inglê</w:t>
      </w:r>
      <w:r w:rsidR="007F5129">
        <w:rPr>
          <w:rFonts w:ascii="Times New Roman" w:hAnsi="Times New Roman" w:cs="Times New Roman"/>
          <w:sz w:val="24"/>
          <w:szCs w:val="24"/>
        </w:rPr>
        <w:t xml:space="preserve">s foi concedido em troca d o compromisso com a </w:t>
      </w:r>
      <w:r w:rsidRPr="00332D83">
        <w:rPr>
          <w:rFonts w:ascii="Times New Roman" w:hAnsi="Times New Roman" w:cs="Times New Roman"/>
          <w:sz w:val="24"/>
          <w:szCs w:val="24"/>
        </w:rPr>
        <w:t xml:space="preserve">desmontagem do império britânico e consequentemente </w:t>
      </w:r>
      <w:r w:rsidR="007F5129">
        <w:rPr>
          <w:rFonts w:ascii="Times New Roman" w:hAnsi="Times New Roman" w:cs="Times New Roman"/>
          <w:sz w:val="24"/>
          <w:szCs w:val="24"/>
        </w:rPr>
        <w:t xml:space="preserve">com </w:t>
      </w:r>
      <w:r w:rsidR="00AC4F58" w:rsidRPr="00332D83">
        <w:rPr>
          <w:rFonts w:ascii="Times New Roman" w:hAnsi="Times New Roman" w:cs="Times New Roman"/>
          <w:sz w:val="24"/>
          <w:szCs w:val="24"/>
        </w:rPr>
        <w:t>a</w:t>
      </w:r>
      <w:r w:rsidRPr="00332D83">
        <w:rPr>
          <w:rFonts w:ascii="Times New Roman" w:hAnsi="Times New Roman" w:cs="Times New Roman"/>
          <w:sz w:val="24"/>
          <w:szCs w:val="24"/>
        </w:rPr>
        <w:t xml:space="preserve"> eliminação, de uma vez por todas, da libra com moeda potencialmente concorrente no sistema monetário internacional. Com a Inglaterra fora do páreo, o resto do mundo se submeteu às regras monetárias impostas pelos americanos, à exceção da União Soviética e de seus países satélites.</w:t>
      </w:r>
      <w:r w:rsidR="00862EB5">
        <w:rPr>
          <w:rFonts w:ascii="Times New Roman" w:hAnsi="Times New Roman" w:cs="Times New Roman"/>
          <w:sz w:val="24"/>
          <w:szCs w:val="24"/>
        </w:rPr>
        <w:t xml:space="preserve"> </w:t>
      </w:r>
    </w:p>
    <w:p w:rsidR="00771B61" w:rsidRPr="00332D83" w:rsidRDefault="00771B61"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lastRenderedPageBreak/>
        <w:t xml:space="preserve">Novamente, o poder monetário estrutural americano se manifestou em 1971 quando o Acordo de </w:t>
      </w:r>
      <w:proofErr w:type="spellStart"/>
      <w:r w:rsidRPr="00332D83">
        <w:rPr>
          <w:rFonts w:ascii="Times New Roman" w:hAnsi="Times New Roman" w:cs="Times New Roman"/>
          <w:sz w:val="24"/>
          <w:szCs w:val="24"/>
        </w:rPr>
        <w:t>Bretton</w:t>
      </w:r>
      <w:proofErr w:type="spellEnd"/>
      <w:r w:rsidRPr="00332D83">
        <w:rPr>
          <w:rFonts w:ascii="Times New Roman" w:hAnsi="Times New Roman" w:cs="Times New Roman"/>
          <w:sz w:val="24"/>
          <w:szCs w:val="24"/>
        </w:rPr>
        <w:t xml:space="preserve"> Woods precisou ser desmontado junto com os mecanismos que permitiam taxas de câmbio fixas e a conversibilidade do dólar em ouro a uma dada paridade.  A decisão foi imposta unilateralmente pelos Estados Unidos a seus parceiros e deu origem ao atual sistema monetário baseado em taxas flutuantes, o dólar flexível.</w:t>
      </w:r>
      <w:r w:rsidR="00862EB5">
        <w:rPr>
          <w:rFonts w:ascii="Times New Roman" w:hAnsi="Times New Roman" w:cs="Times New Roman"/>
          <w:sz w:val="24"/>
          <w:szCs w:val="24"/>
        </w:rPr>
        <w:t xml:space="preserve"> </w:t>
      </w:r>
    </w:p>
    <w:p w:rsidR="00862EB5" w:rsidRDefault="00771B61"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Esse episódio foi </w:t>
      </w:r>
      <w:r w:rsidR="00B7678D">
        <w:rPr>
          <w:rFonts w:ascii="Times New Roman" w:hAnsi="Times New Roman" w:cs="Times New Roman"/>
          <w:sz w:val="24"/>
          <w:szCs w:val="24"/>
        </w:rPr>
        <w:t xml:space="preserve">inicialmente </w:t>
      </w:r>
      <w:r w:rsidRPr="00332D83">
        <w:rPr>
          <w:rFonts w:ascii="Times New Roman" w:hAnsi="Times New Roman" w:cs="Times New Roman"/>
          <w:sz w:val="24"/>
          <w:szCs w:val="24"/>
        </w:rPr>
        <w:t xml:space="preserve">visto como um sinal de enfraquecimento do poder americano no mundo. Desse ponto de vista, a decisão dos EUA </w:t>
      </w:r>
      <w:r w:rsidR="00B7678D">
        <w:rPr>
          <w:rFonts w:ascii="Times New Roman" w:hAnsi="Times New Roman" w:cs="Times New Roman"/>
          <w:sz w:val="24"/>
          <w:szCs w:val="24"/>
        </w:rPr>
        <w:t xml:space="preserve">de romper o padrão dólar fixo teria sido </w:t>
      </w:r>
      <w:r w:rsidRPr="00332D83">
        <w:rPr>
          <w:rFonts w:ascii="Times New Roman" w:hAnsi="Times New Roman" w:cs="Times New Roman"/>
          <w:sz w:val="24"/>
          <w:szCs w:val="24"/>
        </w:rPr>
        <w:t xml:space="preserve">uma resposta </w:t>
      </w:r>
      <w:r w:rsidR="00AC4F58" w:rsidRPr="00332D83">
        <w:rPr>
          <w:rFonts w:ascii="Times New Roman" w:hAnsi="Times New Roman" w:cs="Times New Roman"/>
          <w:sz w:val="24"/>
          <w:szCs w:val="24"/>
        </w:rPr>
        <w:t xml:space="preserve">inevitável </w:t>
      </w:r>
      <w:r w:rsidR="00B7678D">
        <w:rPr>
          <w:rFonts w:ascii="Times New Roman" w:hAnsi="Times New Roman" w:cs="Times New Roman"/>
          <w:sz w:val="24"/>
          <w:szCs w:val="24"/>
        </w:rPr>
        <w:t xml:space="preserve">e passiva frente às </w:t>
      </w:r>
      <w:r w:rsidRPr="00332D83">
        <w:rPr>
          <w:rFonts w:ascii="Times New Roman" w:hAnsi="Times New Roman" w:cs="Times New Roman"/>
          <w:sz w:val="24"/>
          <w:szCs w:val="24"/>
        </w:rPr>
        <w:t xml:space="preserve">fortes pressões especulativas dos mercados e dos bancos centrais europeus </w:t>
      </w:r>
      <w:r w:rsidR="00EF1550" w:rsidRPr="00332D83">
        <w:rPr>
          <w:rFonts w:ascii="Times New Roman" w:hAnsi="Times New Roman" w:cs="Times New Roman"/>
          <w:sz w:val="24"/>
          <w:szCs w:val="24"/>
        </w:rPr>
        <w:t xml:space="preserve">sobre o Federal Reserve. </w:t>
      </w:r>
      <w:r w:rsidR="00AC4F58" w:rsidRPr="00332D83">
        <w:rPr>
          <w:rFonts w:ascii="Times New Roman" w:hAnsi="Times New Roman" w:cs="Times New Roman"/>
          <w:sz w:val="24"/>
          <w:szCs w:val="24"/>
        </w:rPr>
        <w:t xml:space="preserve">Entretanto, </w:t>
      </w:r>
      <w:r w:rsidR="00EF1550" w:rsidRPr="00332D83">
        <w:rPr>
          <w:rFonts w:ascii="Times New Roman" w:hAnsi="Times New Roman" w:cs="Times New Roman"/>
          <w:sz w:val="24"/>
          <w:szCs w:val="24"/>
        </w:rPr>
        <w:t xml:space="preserve">documentos recentemente liberados pelo Tesouro dos Estados Unidos mostram que </w:t>
      </w:r>
      <w:r w:rsidR="00AC4F58" w:rsidRPr="00332D83">
        <w:rPr>
          <w:rFonts w:ascii="Times New Roman" w:hAnsi="Times New Roman" w:cs="Times New Roman"/>
          <w:sz w:val="24"/>
          <w:szCs w:val="24"/>
        </w:rPr>
        <w:t>esta</w:t>
      </w:r>
      <w:r w:rsidR="00EF1550" w:rsidRPr="00332D83">
        <w:rPr>
          <w:rFonts w:ascii="Times New Roman" w:hAnsi="Times New Roman" w:cs="Times New Roman"/>
          <w:sz w:val="24"/>
          <w:szCs w:val="24"/>
        </w:rPr>
        <w:t xml:space="preserve"> decisão </w:t>
      </w:r>
      <w:r w:rsidR="00AC4F58" w:rsidRPr="00332D83">
        <w:rPr>
          <w:rFonts w:ascii="Times New Roman" w:hAnsi="Times New Roman" w:cs="Times New Roman"/>
          <w:sz w:val="24"/>
          <w:szCs w:val="24"/>
        </w:rPr>
        <w:t>já havia sido</w:t>
      </w:r>
      <w:r w:rsidR="00EF1550" w:rsidRPr="00332D83">
        <w:rPr>
          <w:rFonts w:ascii="Times New Roman" w:hAnsi="Times New Roman" w:cs="Times New Roman"/>
          <w:sz w:val="24"/>
          <w:szCs w:val="24"/>
        </w:rPr>
        <w:t xml:space="preserve"> tomada em segredo </w:t>
      </w:r>
      <w:r w:rsidR="00AC4F58" w:rsidRPr="00332D83">
        <w:rPr>
          <w:rFonts w:ascii="Times New Roman" w:hAnsi="Times New Roman" w:cs="Times New Roman"/>
          <w:sz w:val="24"/>
          <w:szCs w:val="24"/>
        </w:rPr>
        <w:t>em</w:t>
      </w:r>
      <w:r w:rsidR="00EF1550" w:rsidRPr="00332D83">
        <w:rPr>
          <w:rFonts w:ascii="Times New Roman" w:hAnsi="Times New Roman" w:cs="Times New Roman"/>
          <w:sz w:val="24"/>
          <w:szCs w:val="24"/>
        </w:rPr>
        <w:t xml:space="preserve"> 1969 e que ficou a espera de uma oportunidade política para ser adotada.</w:t>
      </w:r>
      <w:r w:rsidR="00862EB5">
        <w:rPr>
          <w:rFonts w:ascii="Times New Roman" w:hAnsi="Times New Roman" w:cs="Times New Roman"/>
          <w:sz w:val="24"/>
          <w:szCs w:val="24"/>
        </w:rPr>
        <w:t xml:space="preserve"> </w:t>
      </w:r>
    </w:p>
    <w:p w:rsidR="001C7600" w:rsidRDefault="00EF1550" w:rsidP="00276F21">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 xml:space="preserve">As décadas seguintes mostraram que o poder hegemônico e estrutural americano estava longe de ter se esgotado. O fim da União Soviética </w:t>
      </w:r>
      <w:r w:rsidR="001C7600">
        <w:rPr>
          <w:rFonts w:ascii="Times New Roman" w:hAnsi="Times New Roman" w:cs="Times New Roman"/>
          <w:sz w:val="24"/>
          <w:szCs w:val="24"/>
        </w:rPr>
        <w:t xml:space="preserve">foi um marco importante desse processo. Outro elemento importante, que evidencia </w:t>
      </w:r>
      <w:r w:rsidR="001C7600" w:rsidRPr="001C7600">
        <w:rPr>
          <w:rFonts w:ascii="Times New Roman" w:hAnsi="Times New Roman" w:cs="Times New Roman"/>
          <w:sz w:val="24"/>
          <w:szCs w:val="24"/>
        </w:rPr>
        <w:t>da capacidade de condução que os EUA</w:t>
      </w:r>
      <w:r w:rsidR="001C7600">
        <w:rPr>
          <w:rFonts w:ascii="Times New Roman" w:hAnsi="Times New Roman" w:cs="Times New Roman"/>
          <w:sz w:val="24"/>
          <w:szCs w:val="24"/>
        </w:rPr>
        <w:t xml:space="preserve"> detêm no cenário internacional, foi </w:t>
      </w:r>
      <w:r w:rsidRPr="00332D83">
        <w:rPr>
          <w:rFonts w:ascii="Times New Roman" w:hAnsi="Times New Roman" w:cs="Times New Roman"/>
          <w:sz w:val="24"/>
          <w:szCs w:val="24"/>
        </w:rPr>
        <w:t>a constituição de um</w:t>
      </w:r>
      <w:r w:rsidR="001C7600">
        <w:rPr>
          <w:rFonts w:ascii="Times New Roman" w:hAnsi="Times New Roman" w:cs="Times New Roman"/>
          <w:sz w:val="24"/>
          <w:szCs w:val="24"/>
        </w:rPr>
        <w:t xml:space="preserve"> sistema financeiro globalizado baseado em taxas de câmbio flexíveis e em uma moeda </w:t>
      </w:r>
      <w:r w:rsidR="001C7600" w:rsidRPr="001C7600">
        <w:rPr>
          <w:rFonts w:ascii="Times New Roman" w:hAnsi="Times New Roman" w:cs="Times New Roman"/>
          <w:i/>
          <w:sz w:val="24"/>
          <w:szCs w:val="24"/>
        </w:rPr>
        <w:t>fiat</w:t>
      </w:r>
      <w:r w:rsidR="001C7600">
        <w:rPr>
          <w:rFonts w:ascii="Times New Roman" w:hAnsi="Times New Roman" w:cs="Times New Roman"/>
          <w:sz w:val="24"/>
          <w:szCs w:val="24"/>
        </w:rPr>
        <w:t xml:space="preserve"> - o dólar americano. Esse sistema dólar flexível já perdura por mais de três décadas, apesar das </w:t>
      </w:r>
      <w:r w:rsidR="00D65B66">
        <w:rPr>
          <w:rFonts w:ascii="Times New Roman" w:hAnsi="Times New Roman" w:cs="Times New Roman"/>
          <w:sz w:val="24"/>
          <w:szCs w:val="24"/>
        </w:rPr>
        <w:t>inúmeras</w:t>
      </w:r>
      <w:r w:rsidR="001C7600">
        <w:rPr>
          <w:rFonts w:ascii="Times New Roman" w:hAnsi="Times New Roman" w:cs="Times New Roman"/>
          <w:sz w:val="24"/>
          <w:szCs w:val="24"/>
        </w:rPr>
        <w:t xml:space="preserve"> que suscitou. </w:t>
      </w:r>
    </w:p>
    <w:p w:rsidR="00436263" w:rsidRPr="00332D83" w:rsidRDefault="001C7600" w:rsidP="00276F21">
      <w:pPr>
        <w:spacing w:line="240" w:lineRule="auto"/>
        <w:jc w:val="both"/>
        <w:rPr>
          <w:rFonts w:ascii="Times New Roman" w:hAnsi="Times New Roman" w:cs="Times New Roman"/>
          <w:color w:val="FF0000"/>
          <w:sz w:val="24"/>
          <w:szCs w:val="24"/>
          <w:lang w:val="en-US"/>
        </w:rPr>
      </w:pPr>
      <w:r>
        <w:rPr>
          <w:rFonts w:ascii="Times New Roman" w:hAnsi="Times New Roman" w:cs="Times New Roman"/>
          <w:sz w:val="24"/>
          <w:szCs w:val="24"/>
        </w:rPr>
        <w:t xml:space="preserve"> </w:t>
      </w:r>
      <w:r w:rsidR="00EF1550" w:rsidRPr="00332D83">
        <w:rPr>
          <w:rFonts w:ascii="Times New Roman" w:hAnsi="Times New Roman" w:cs="Times New Roman"/>
          <w:sz w:val="24"/>
          <w:szCs w:val="24"/>
        </w:rPr>
        <w:t xml:space="preserve">A resposta americana à crise financeira de 2008 mostrou, a despeito das desconfianças iniciais, que o dólar continua a ser a moeda central do sistema internacional, sem rivais a sua altura. Desse ponto de vista, as ameaças externas ao poder monetário americano não parecem ser relevantes no futuro previsível. Nesse sentido, sua principal fonte de </w:t>
      </w:r>
      <w:r w:rsidR="0044453E" w:rsidRPr="00332D83">
        <w:rPr>
          <w:rFonts w:ascii="Times New Roman" w:hAnsi="Times New Roman" w:cs="Times New Roman"/>
          <w:sz w:val="24"/>
          <w:szCs w:val="24"/>
        </w:rPr>
        <w:t>instabilidade</w:t>
      </w:r>
      <w:r w:rsidR="00EF1550" w:rsidRPr="00332D83">
        <w:rPr>
          <w:rFonts w:ascii="Times New Roman" w:hAnsi="Times New Roman" w:cs="Times New Roman"/>
          <w:sz w:val="24"/>
          <w:szCs w:val="24"/>
        </w:rPr>
        <w:t xml:space="preserve"> se encontra no interior dos Estad</w:t>
      </w:r>
      <w:r w:rsidR="0044453E" w:rsidRPr="00332D83">
        <w:rPr>
          <w:rFonts w:ascii="Times New Roman" w:hAnsi="Times New Roman" w:cs="Times New Roman"/>
          <w:sz w:val="24"/>
          <w:szCs w:val="24"/>
        </w:rPr>
        <w:t>os Unidos, no aumento dos c</w:t>
      </w:r>
      <w:r w:rsidR="00EF1550" w:rsidRPr="00332D83">
        <w:rPr>
          <w:rFonts w:ascii="Times New Roman" w:hAnsi="Times New Roman" w:cs="Times New Roman"/>
          <w:sz w:val="24"/>
          <w:szCs w:val="24"/>
        </w:rPr>
        <w:t>onflitos internos. Essa perspectiva já havia sido anunciad</w:t>
      </w:r>
      <w:r w:rsidR="00FB16E4">
        <w:rPr>
          <w:rFonts w:ascii="Times New Roman" w:hAnsi="Times New Roman" w:cs="Times New Roman"/>
          <w:sz w:val="24"/>
          <w:szCs w:val="24"/>
        </w:rPr>
        <w:t xml:space="preserve">a por Susan </w:t>
      </w:r>
      <w:proofErr w:type="spellStart"/>
      <w:r w:rsidR="00FB16E4">
        <w:rPr>
          <w:rFonts w:ascii="Times New Roman" w:hAnsi="Times New Roman" w:cs="Times New Roman"/>
          <w:sz w:val="24"/>
          <w:szCs w:val="24"/>
        </w:rPr>
        <w:t>Strange</w:t>
      </w:r>
      <w:proofErr w:type="spellEnd"/>
      <w:r w:rsidR="00EF1550" w:rsidRPr="00332D83">
        <w:rPr>
          <w:rFonts w:ascii="Times New Roman" w:hAnsi="Times New Roman" w:cs="Times New Roman"/>
          <w:sz w:val="24"/>
          <w:szCs w:val="24"/>
        </w:rPr>
        <w:t xml:space="preserve"> há duas décadas. </w:t>
      </w:r>
      <w:r w:rsidR="00EF1550" w:rsidRPr="00332D83">
        <w:rPr>
          <w:rFonts w:ascii="Times New Roman" w:hAnsi="Times New Roman" w:cs="Times New Roman"/>
          <w:sz w:val="24"/>
          <w:szCs w:val="24"/>
          <w:lang w:val="en-US"/>
        </w:rPr>
        <w:t xml:space="preserve">Segundo </w:t>
      </w:r>
      <w:proofErr w:type="spellStart"/>
      <w:r w:rsidR="00EF1550" w:rsidRPr="00332D83">
        <w:rPr>
          <w:rFonts w:ascii="Times New Roman" w:hAnsi="Times New Roman" w:cs="Times New Roman"/>
          <w:sz w:val="24"/>
          <w:szCs w:val="24"/>
          <w:lang w:val="en-US"/>
        </w:rPr>
        <w:t>ela</w:t>
      </w:r>
      <w:proofErr w:type="spellEnd"/>
      <w:r w:rsidR="00EF1550" w:rsidRPr="00332D83">
        <w:rPr>
          <w:rFonts w:ascii="Times New Roman" w:hAnsi="Times New Roman" w:cs="Times New Roman"/>
          <w:sz w:val="24"/>
          <w:szCs w:val="24"/>
          <w:lang w:val="en-US"/>
        </w:rPr>
        <w:t>: “</w:t>
      </w:r>
      <w:r w:rsidR="00AC4F58" w:rsidRPr="00332D83">
        <w:rPr>
          <w:rFonts w:ascii="Times New Roman" w:hAnsi="Times New Roman" w:cs="Times New Roman"/>
          <w:i/>
          <w:color w:val="000000"/>
          <w:sz w:val="24"/>
          <w:szCs w:val="24"/>
          <w:lang w:val="en-US"/>
        </w:rPr>
        <w:t>(T)</w:t>
      </w:r>
      <w:r w:rsidR="009910CF" w:rsidRPr="00332D83">
        <w:rPr>
          <w:rFonts w:ascii="Times New Roman" w:hAnsi="Times New Roman" w:cs="Times New Roman"/>
          <w:i/>
          <w:color w:val="000000"/>
          <w:sz w:val="24"/>
          <w:szCs w:val="24"/>
          <w:lang w:val="en-US"/>
        </w:rPr>
        <w:t>he decline in American hegemonic power lies within the American</w:t>
      </w:r>
      <w:r w:rsidR="00EF1550" w:rsidRPr="00332D83">
        <w:rPr>
          <w:rFonts w:ascii="Times New Roman" w:hAnsi="Times New Roman" w:cs="Times New Roman"/>
          <w:i/>
          <w:color w:val="000000"/>
          <w:sz w:val="24"/>
          <w:szCs w:val="24"/>
          <w:lang w:val="en-US"/>
        </w:rPr>
        <w:t xml:space="preserve"> </w:t>
      </w:r>
      <w:r w:rsidR="009910CF" w:rsidRPr="00332D83">
        <w:rPr>
          <w:rFonts w:ascii="Times New Roman" w:hAnsi="Times New Roman" w:cs="Times New Roman"/>
          <w:i/>
          <w:color w:val="000000"/>
          <w:sz w:val="24"/>
          <w:szCs w:val="24"/>
          <w:lang w:val="en-US"/>
        </w:rPr>
        <w:t>political system rather than in the role of the United States in the</w:t>
      </w:r>
      <w:r w:rsidR="00EF1550" w:rsidRPr="00332D83">
        <w:rPr>
          <w:rFonts w:ascii="Times New Roman" w:hAnsi="Times New Roman" w:cs="Times New Roman"/>
          <w:i/>
          <w:color w:val="000000"/>
          <w:sz w:val="24"/>
          <w:szCs w:val="24"/>
          <w:lang w:val="en-US"/>
        </w:rPr>
        <w:t xml:space="preserve"> </w:t>
      </w:r>
      <w:r w:rsidR="00AC4F58" w:rsidRPr="00332D83">
        <w:rPr>
          <w:rFonts w:ascii="Times New Roman" w:hAnsi="Times New Roman" w:cs="Times New Roman"/>
          <w:i/>
          <w:color w:val="000000"/>
          <w:sz w:val="24"/>
          <w:szCs w:val="24"/>
          <w:lang w:val="en-US"/>
        </w:rPr>
        <w:t xml:space="preserve">international system. </w:t>
      </w:r>
      <w:r w:rsidR="009910CF" w:rsidRPr="00332D83">
        <w:rPr>
          <w:rFonts w:ascii="Times New Roman" w:hAnsi="Times New Roman" w:cs="Times New Roman"/>
          <w:i/>
          <w:color w:val="000000"/>
          <w:sz w:val="24"/>
          <w:szCs w:val="24"/>
          <w:lang w:val="en-US"/>
        </w:rPr>
        <w:t>Stability in these regimes requires, above all, some consistency on the part of the leading participant. The United States is ill suited to sustaining this consistency in policy making</w:t>
      </w:r>
      <w:r w:rsidR="00FB16E4">
        <w:rPr>
          <w:rFonts w:ascii="Times New Roman" w:hAnsi="Times New Roman" w:cs="Times New Roman"/>
          <w:i/>
          <w:color w:val="000000"/>
          <w:sz w:val="24"/>
          <w:szCs w:val="24"/>
          <w:lang w:val="en-US"/>
        </w:rPr>
        <w:t>”</w:t>
      </w:r>
      <w:r w:rsidR="009910CF" w:rsidRPr="00332D83">
        <w:rPr>
          <w:rFonts w:ascii="Times New Roman" w:hAnsi="Times New Roman" w:cs="Times New Roman"/>
          <w:i/>
          <w:color w:val="000000"/>
          <w:sz w:val="24"/>
          <w:szCs w:val="24"/>
          <w:lang w:val="en-US"/>
        </w:rPr>
        <w:t xml:space="preserve"> </w:t>
      </w:r>
      <w:r w:rsidR="001F1326">
        <w:rPr>
          <w:rFonts w:ascii="Times New Roman" w:hAnsi="Times New Roman" w:cs="Times New Roman"/>
          <w:color w:val="000000"/>
          <w:sz w:val="24"/>
          <w:szCs w:val="24"/>
          <w:lang w:val="en-US"/>
        </w:rPr>
        <w:t>(S</w:t>
      </w:r>
      <w:r w:rsidR="00FB16E4" w:rsidRPr="00FB16E4">
        <w:rPr>
          <w:rFonts w:ascii="Times New Roman" w:hAnsi="Times New Roman" w:cs="Times New Roman"/>
          <w:sz w:val="24"/>
          <w:szCs w:val="24"/>
          <w:lang w:val="en-US"/>
        </w:rPr>
        <w:t>TRANGE,1987:571-2)</w:t>
      </w:r>
      <w:r w:rsidR="00FB16E4">
        <w:rPr>
          <w:rFonts w:ascii="Times New Roman" w:hAnsi="Times New Roman" w:cs="Times New Roman"/>
          <w:sz w:val="24"/>
          <w:szCs w:val="24"/>
          <w:lang w:val="en-US"/>
        </w:rPr>
        <w:t>.</w:t>
      </w:r>
    </w:p>
    <w:p w:rsidR="00A50682" w:rsidRPr="00332D83" w:rsidRDefault="00A50682" w:rsidP="00F212C6">
      <w:pPr>
        <w:spacing w:line="360" w:lineRule="auto"/>
        <w:jc w:val="both"/>
        <w:rPr>
          <w:rFonts w:ascii="Times New Roman" w:hAnsi="Times New Roman" w:cs="Times New Roman"/>
          <w:sz w:val="24"/>
          <w:szCs w:val="24"/>
          <w:u w:val="single"/>
        </w:rPr>
      </w:pPr>
      <w:r w:rsidRPr="00332D83">
        <w:rPr>
          <w:rFonts w:ascii="Times New Roman" w:hAnsi="Times New Roman" w:cs="Times New Roman"/>
          <w:sz w:val="24"/>
          <w:szCs w:val="24"/>
          <w:u w:val="single"/>
        </w:rPr>
        <w:t>Referências Bibliográficas</w:t>
      </w:r>
    </w:p>
    <w:p w:rsidR="006F04EE" w:rsidRPr="00332D83" w:rsidRDefault="00865257" w:rsidP="006F04EE">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AGUIAR</w:t>
      </w:r>
      <w:r w:rsidR="006F04EE" w:rsidRPr="00332D83">
        <w:rPr>
          <w:rFonts w:ascii="Times New Roman" w:hAnsi="Times New Roman" w:cs="Times New Roman"/>
          <w:sz w:val="24"/>
          <w:szCs w:val="24"/>
        </w:rPr>
        <w:t>, F. (2017). A Economia Política da Ruptura de Padrão Monetário nos anos 70. Dissertação de Mestrado em Economia Política Internacional apresentada ao Instituto de Economia, Universidade Federal do Rio de Janeiro.</w:t>
      </w:r>
    </w:p>
    <w:p w:rsidR="00275D3F" w:rsidRPr="00332D83" w:rsidRDefault="00C256E3" w:rsidP="00F212C6">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AH</w:t>
      </w:r>
      <w:r w:rsidR="00215211">
        <w:rPr>
          <w:rFonts w:ascii="Times New Roman" w:hAnsi="Times New Roman" w:cs="Times New Roman"/>
          <w:sz w:val="24"/>
          <w:szCs w:val="24"/>
          <w:lang w:val="en-US"/>
        </w:rPr>
        <w:t>A</w:t>
      </w:r>
      <w:r w:rsidRPr="00332D83">
        <w:rPr>
          <w:rFonts w:ascii="Times New Roman" w:hAnsi="Times New Roman" w:cs="Times New Roman"/>
          <w:sz w:val="24"/>
          <w:szCs w:val="24"/>
          <w:lang w:val="en-US"/>
        </w:rPr>
        <w:t>MED</w:t>
      </w:r>
      <w:r w:rsidR="00275D3F" w:rsidRPr="00332D83">
        <w:rPr>
          <w:rFonts w:ascii="Times New Roman" w:hAnsi="Times New Roman" w:cs="Times New Roman"/>
          <w:sz w:val="24"/>
          <w:szCs w:val="24"/>
          <w:lang w:val="en-US"/>
        </w:rPr>
        <w:t xml:space="preserve">, L. (2009). Lords of Finance: The bankers who broke the world. New York:  Penguin books. </w:t>
      </w:r>
    </w:p>
    <w:p w:rsidR="00156C0C" w:rsidRPr="00332D83" w:rsidRDefault="005C4ECA" w:rsidP="00F212C6">
      <w:pPr>
        <w:spacing w:line="240" w:lineRule="auto"/>
        <w:jc w:val="both"/>
        <w:rPr>
          <w:rFonts w:ascii="Times New Roman" w:hAnsi="Times New Roman" w:cs="Times New Roman"/>
        </w:rPr>
      </w:pPr>
      <w:r w:rsidRPr="00332D83">
        <w:rPr>
          <w:rFonts w:ascii="Times New Roman" w:hAnsi="Times New Roman" w:cs="Times New Roman"/>
          <w:sz w:val="24"/>
          <w:szCs w:val="24"/>
          <w:lang w:val="en-US"/>
        </w:rPr>
        <w:t>BAGEHOT</w:t>
      </w:r>
      <w:r w:rsidR="0000172C" w:rsidRPr="00332D83">
        <w:rPr>
          <w:rFonts w:ascii="Times New Roman" w:hAnsi="Times New Roman" w:cs="Times New Roman"/>
          <w:sz w:val="24"/>
          <w:szCs w:val="24"/>
          <w:lang w:val="en-US"/>
        </w:rPr>
        <w:t>, W. (1973)</w:t>
      </w:r>
      <w:r w:rsidR="00156C0C" w:rsidRPr="00332D83">
        <w:rPr>
          <w:rFonts w:ascii="Times New Roman" w:hAnsi="Times New Roman" w:cs="Times New Roman"/>
          <w:sz w:val="24"/>
          <w:szCs w:val="24"/>
          <w:lang w:val="en-US"/>
        </w:rPr>
        <w:t xml:space="preserve">. Lombard Street: A </w:t>
      </w:r>
      <w:r w:rsidR="0000172C" w:rsidRPr="00332D83">
        <w:rPr>
          <w:rFonts w:ascii="Times New Roman" w:hAnsi="Times New Roman" w:cs="Times New Roman"/>
          <w:sz w:val="24"/>
          <w:szCs w:val="24"/>
          <w:lang w:val="en-US"/>
        </w:rPr>
        <w:t>Description of the Money Market</w:t>
      </w:r>
      <w:r w:rsidR="00156C0C" w:rsidRPr="00332D83">
        <w:rPr>
          <w:rFonts w:ascii="Times New Roman" w:hAnsi="Times New Roman" w:cs="Times New Roman"/>
          <w:sz w:val="24"/>
          <w:szCs w:val="24"/>
          <w:lang w:val="en-US"/>
        </w:rPr>
        <w:t xml:space="preserve">. </w:t>
      </w:r>
      <w:hyperlink r:id="rId8" w:history="1">
        <w:r w:rsidR="00156C0C" w:rsidRPr="00332D83">
          <w:rPr>
            <w:rStyle w:val="Hyperlink"/>
            <w:rFonts w:ascii="Times New Roman" w:hAnsi="Times New Roman" w:cs="Times New Roman"/>
            <w:sz w:val="24"/>
            <w:szCs w:val="24"/>
          </w:rPr>
          <w:t>http://oll.libertyfund.org/titles/bagehot-lombard-street-a-description-of-the-money-market</w:t>
        </w:r>
      </w:hyperlink>
    </w:p>
    <w:p w:rsidR="008E7117" w:rsidRPr="00332D83" w:rsidRDefault="00534F7C" w:rsidP="00F212C6">
      <w:pPr>
        <w:spacing w:line="240" w:lineRule="auto"/>
        <w:jc w:val="both"/>
        <w:rPr>
          <w:rFonts w:ascii="Times New Roman" w:hAnsi="Times New Roman" w:cs="Times New Roman"/>
          <w:sz w:val="24"/>
          <w:szCs w:val="24"/>
        </w:rPr>
      </w:pPr>
      <w:r>
        <w:rPr>
          <w:rFonts w:ascii="Times New Roman" w:hAnsi="Times New Roman" w:cs="Times New Roman"/>
          <w:sz w:val="24"/>
          <w:szCs w:val="24"/>
        </w:rPr>
        <w:t>CARLOS, A., NEAL, L. e</w:t>
      </w:r>
      <w:r w:rsidRPr="00332D83">
        <w:rPr>
          <w:rFonts w:ascii="Times New Roman" w:hAnsi="Times New Roman" w:cs="Times New Roman"/>
          <w:sz w:val="24"/>
          <w:szCs w:val="24"/>
        </w:rPr>
        <w:t xml:space="preserve"> </w:t>
      </w:r>
      <w:proofErr w:type="gramStart"/>
      <w:r w:rsidRPr="00332D83">
        <w:rPr>
          <w:rFonts w:ascii="Times New Roman" w:hAnsi="Times New Roman" w:cs="Times New Roman"/>
          <w:sz w:val="24"/>
          <w:szCs w:val="24"/>
        </w:rPr>
        <w:t>WANDSCHNEIDER</w:t>
      </w:r>
      <w:r w:rsidR="008E7117" w:rsidRPr="00332D83">
        <w:rPr>
          <w:rFonts w:ascii="Times New Roman" w:hAnsi="Times New Roman" w:cs="Times New Roman"/>
          <w:sz w:val="24"/>
          <w:szCs w:val="24"/>
        </w:rPr>
        <w:t>,K.</w:t>
      </w:r>
      <w:proofErr w:type="gramEnd"/>
      <w:r w:rsidR="008E7117" w:rsidRPr="00332D83">
        <w:rPr>
          <w:rFonts w:ascii="Times New Roman" w:hAnsi="Times New Roman" w:cs="Times New Roman"/>
          <w:sz w:val="24"/>
          <w:szCs w:val="24"/>
        </w:rPr>
        <w:t xml:space="preserve"> (2005). </w:t>
      </w:r>
      <w:r w:rsidR="008E7117" w:rsidRPr="00332D83">
        <w:rPr>
          <w:rFonts w:ascii="Times New Roman" w:hAnsi="Times New Roman" w:cs="Times New Roman"/>
          <w:sz w:val="24"/>
          <w:szCs w:val="24"/>
          <w:lang w:val="en-US"/>
        </w:rPr>
        <w:t>The Origin of the National Debt: The Financing and Ref</w:t>
      </w:r>
      <w:r w:rsidR="0017521B" w:rsidRPr="00332D83">
        <w:rPr>
          <w:rFonts w:ascii="Times New Roman" w:hAnsi="Times New Roman" w:cs="Times New Roman"/>
          <w:sz w:val="24"/>
          <w:szCs w:val="24"/>
          <w:lang w:val="en-US"/>
        </w:rPr>
        <w:t>i</w:t>
      </w:r>
      <w:r w:rsidR="008E7117" w:rsidRPr="00332D83">
        <w:rPr>
          <w:rFonts w:ascii="Times New Roman" w:hAnsi="Times New Roman" w:cs="Times New Roman"/>
          <w:sz w:val="24"/>
          <w:szCs w:val="24"/>
          <w:lang w:val="en-US"/>
        </w:rPr>
        <w:t xml:space="preserve">nancing of the War of Spanish Succession, Economic Historian’s Conference 2005. </w:t>
      </w:r>
      <w:hyperlink r:id="rId9" w:history="1">
        <w:r w:rsidR="008E7117" w:rsidRPr="00332D83">
          <w:rPr>
            <w:rStyle w:val="Hyperlink"/>
            <w:rFonts w:ascii="Times New Roman" w:hAnsi="Times New Roman" w:cs="Times New Roman"/>
            <w:sz w:val="24"/>
            <w:szCs w:val="24"/>
          </w:rPr>
          <w:t>http://www.helsinki.fi/iehc2006/papers1/Carlos.pdf</w:t>
        </w:r>
      </w:hyperlink>
    </w:p>
    <w:p w:rsidR="000F3033" w:rsidRDefault="005C4ECA" w:rsidP="00F212C6">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CARLOS, A. e</w:t>
      </w:r>
      <w:r w:rsidRPr="00332D83">
        <w:rPr>
          <w:rFonts w:ascii="Times New Roman" w:hAnsi="Times New Roman" w:cs="Times New Roman"/>
          <w:sz w:val="24"/>
          <w:szCs w:val="24"/>
        </w:rPr>
        <w:t xml:space="preserve"> NEAL, L</w:t>
      </w:r>
      <w:r w:rsidR="00344A32" w:rsidRPr="00332D83">
        <w:rPr>
          <w:rFonts w:ascii="Times New Roman" w:hAnsi="Times New Roman" w:cs="Times New Roman"/>
          <w:sz w:val="24"/>
          <w:szCs w:val="24"/>
        </w:rPr>
        <w:t>.</w:t>
      </w:r>
      <w:r w:rsidR="00383DDD" w:rsidRPr="00332D83">
        <w:rPr>
          <w:rFonts w:ascii="Times New Roman" w:hAnsi="Times New Roman" w:cs="Times New Roman"/>
          <w:sz w:val="24"/>
          <w:szCs w:val="24"/>
        </w:rPr>
        <w:t xml:space="preserve"> (2011)</w:t>
      </w:r>
      <w:r w:rsidR="00344A32" w:rsidRPr="00332D83">
        <w:rPr>
          <w:rFonts w:ascii="Times New Roman" w:hAnsi="Times New Roman" w:cs="Times New Roman"/>
          <w:sz w:val="24"/>
          <w:szCs w:val="24"/>
        </w:rPr>
        <w:t>.</w:t>
      </w:r>
      <w:r w:rsidR="00383DDD" w:rsidRPr="00332D83">
        <w:rPr>
          <w:rFonts w:ascii="Times New Roman" w:hAnsi="Times New Roman" w:cs="Times New Roman"/>
          <w:sz w:val="24"/>
          <w:szCs w:val="24"/>
        </w:rPr>
        <w:t xml:space="preserve"> </w:t>
      </w:r>
      <w:r w:rsidR="00383DDD" w:rsidRPr="00332D83">
        <w:rPr>
          <w:rFonts w:ascii="Times New Roman" w:hAnsi="Times New Roman" w:cs="Times New Roman"/>
          <w:sz w:val="24"/>
          <w:szCs w:val="24"/>
          <w:lang w:val="en-US"/>
        </w:rPr>
        <w:t>Amsterdam and London as financial centers in the</w:t>
      </w:r>
      <w:r w:rsidR="00383DDD" w:rsidRPr="00332D83">
        <w:rPr>
          <w:rFonts w:ascii="Times New Roman" w:hAnsi="Times New Roman" w:cs="Times New Roman"/>
          <w:sz w:val="24"/>
          <w:szCs w:val="24"/>
          <w:lang w:val="en-US"/>
        </w:rPr>
        <w:br/>
        <w:t xml:space="preserve">eighteenth century. Financial history review, 18 (1). pp. 21-46. </w:t>
      </w:r>
      <w:hyperlink r:id="rId10" w:history="1">
        <w:r w:rsidR="00A0793F" w:rsidRPr="00332D83">
          <w:rPr>
            <w:rStyle w:val="Hyperlink"/>
            <w:rFonts w:ascii="Times New Roman" w:hAnsi="Times New Roman" w:cs="Times New Roman"/>
            <w:sz w:val="24"/>
            <w:szCs w:val="24"/>
            <w:lang w:val="en-US"/>
          </w:rPr>
          <w:t>http://eprints.lse.ac.uk/38799/</w:t>
        </w:r>
      </w:hyperlink>
      <w:r w:rsidR="00A0793F" w:rsidRPr="00332D83">
        <w:rPr>
          <w:rFonts w:ascii="Times New Roman" w:hAnsi="Times New Roman" w:cs="Times New Roman"/>
          <w:sz w:val="24"/>
          <w:szCs w:val="24"/>
          <w:lang w:val="en-US"/>
        </w:rPr>
        <w:t xml:space="preserve"> </w:t>
      </w:r>
    </w:p>
    <w:p w:rsidR="005C4ECA" w:rsidRDefault="000F3033" w:rsidP="005C4ECA">
      <w:pPr>
        <w:spacing w:line="240" w:lineRule="auto"/>
        <w:jc w:val="both"/>
        <w:rPr>
          <w:rFonts w:ascii="Arial" w:hAnsi="Arial" w:cs="Arial"/>
          <w:color w:val="006621"/>
          <w:sz w:val="21"/>
          <w:szCs w:val="21"/>
          <w:shd w:val="clear" w:color="auto" w:fill="FFFFFF"/>
          <w:lang w:val="en-US"/>
        </w:rPr>
      </w:pPr>
      <w:r w:rsidRPr="000F3033">
        <w:rPr>
          <w:rFonts w:ascii="Times New Roman" w:hAnsi="Times New Roman" w:cs="Times New Roman"/>
          <w:sz w:val="24"/>
          <w:szCs w:val="24"/>
          <w:lang w:val="en-US"/>
        </w:rPr>
        <w:t xml:space="preserve">CHEY, H. (2013). The Concepts, Consequences, and Determinants of Currency Internationalization. </w:t>
      </w:r>
      <w:r w:rsidR="005C4ECA" w:rsidRPr="005C4ECA">
        <w:rPr>
          <w:rFonts w:ascii="Times New Roman" w:hAnsi="Times New Roman" w:cs="Times New Roman"/>
          <w:sz w:val="24"/>
          <w:szCs w:val="24"/>
          <w:lang w:val="en-US"/>
        </w:rPr>
        <w:t>GRIP. Discussion Paper 13-03</w:t>
      </w:r>
      <w:r w:rsidR="005C4ECA">
        <w:rPr>
          <w:rFonts w:ascii="Times New Roman" w:hAnsi="Times New Roman" w:cs="Times New Roman"/>
          <w:sz w:val="24"/>
          <w:szCs w:val="24"/>
          <w:lang w:val="en-US"/>
        </w:rPr>
        <w:t xml:space="preserve">. </w:t>
      </w:r>
      <w:hyperlink r:id="rId11" w:history="1">
        <w:r w:rsidR="005C4ECA" w:rsidRPr="005C4ECA">
          <w:rPr>
            <w:lang w:val="en-US"/>
          </w:rPr>
          <w:t>http://</w:t>
        </w:r>
        <w:r w:rsidR="005C4ECA" w:rsidRPr="005C4ECA">
          <w:rPr>
            <w:rFonts w:ascii="Times New Roman" w:hAnsi="Times New Roman" w:cs="Times New Roman"/>
            <w:sz w:val="24"/>
            <w:szCs w:val="24"/>
            <w:lang w:val="en-US"/>
          </w:rPr>
          <w:t>www.grips.ac.jp/r-center/wp-content/uploads/13-03.pdf</w:t>
        </w:r>
      </w:hyperlink>
    </w:p>
    <w:p w:rsidR="00A0793F" w:rsidRPr="00332D83" w:rsidRDefault="00862EB5" w:rsidP="00F212C6">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COHEN</w:t>
      </w:r>
      <w:r w:rsidR="00A0793F" w:rsidRPr="00332D83">
        <w:rPr>
          <w:rFonts w:ascii="Times New Roman" w:hAnsi="Times New Roman" w:cs="Times New Roman"/>
          <w:sz w:val="24"/>
          <w:szCs w:val="24"/>
          <w:lang w:val="en-US"/>
        </w:rPr>
        <w:t xml:space="preserve">, B. (1977). Organizing the World's Money: The Political Economy of International Monetary Relations. </w:t>
      </w:r>
      <w:r w:rsidR="00A0793F" w:rsidRPr="00862EB5">
        <w:rPr>
          <w:rFonts w:ascii="Times New Roman" w:hAnsi="Times New Roman" w:cs="Times New Roman"/>
          <w:sz w:val="24"/>
          <w:szCs w:val="24"/>
          <w:lang w:val="en-US"/>
        </w:rPr>
        <w:t>New York: Basic Books</w:t>
      </w:r>
    </w:p>
    <w:p w:rsidR="00941B43" w:rsidRPr="00332D83" w:rsidRDefault="00862EB5" w:rsidP="00BC372E">
      <w:pPr>
        <w:spacing w:after="240" w:line="240" w:lineRule="auto"/>
        <w:jc w:val="both"/>
        <w:rPr>
          <w:rFonts w:ascii="Times New Roman" w:hAnsi="Times New Roman" w:cs="Times New Roman"/>
          <w:sz w:val="24"/>
          <w:szCs w:val="24"/>
        </w:rPr>
      </w:pPr>
      <w:r>
        <w:rPr>
          <w:rFonts w:ascii="Times New Roman" w:hAnsi="Times New Roman" w:cs="Times New Roman"/>
          <w:bCs/>
          <w:sz w:val="24"/>
          <w:szCs w:val="24"/>
          <w:lang w:val="en-US"/>
        </w:rPr>
        <w:t>COHEN</w:t>
      </w:r>
      <w:r w:rsidR="00BC372E" w:rsidRPr="00332D83">
        <w:rPr>
          <w:rFonts w:ascii="Times New Roman" w:hAnsi="Times New Roman" w:cs="Times New Roman"/>
          <w:sz w:val="24"/>
          <w:szCs w:val="24"/>
          <w:lang w:val="en-US"/>
        </w:rPr>
        <w:t>, B</w:t>
      </w:r>
      <w:r w:rsidR="00941B43" w:rsidRPr="00332D83">
        <w:rPr>
          <w:rFonts w:ascii="Times New Roman" w:hAnsi="Times New Roman" w:cs="Times New Roman"/>
          <w:sz w:val="24"/>
          <w:szCs w:val="24"/>
          <w:lang w:val="en-US"/>
        </w:rPr>
        <w:t>. (1971)</w:t>
      </w:r>
      <w:r w:rsidR="00BC372E" w:rsidRPr="00332D83">
        <w:rPr>
          <w:rFonts w:ascii="Times New Roman" w:hAnsi="Times New Roman" w:cs="Times New Roman"/>
          <w:sz w:val="24"/>
          <w:szCs w:val="24"/>
          <w:lang w:val="en-US"/>
        </w:rPr>
        <w:t xml:space="preserve"> The future of sterling as an international currency. </w:t>
      </w:r>
      <w:r w:rsidR="00BC372E" w:rsidRPr="00332D83">
        <w:rPr>
          <w:rFonts w:ascii="Times New Roman" w:hAnsi="Times New Roman" w:cs="Times New Roman"/>
          <w:sz w:val="24"/>
          <w:szCs w:val="24"/>
        </w:rPr>
        <w:t xml:space="preserve">Londres: </w:t>
      </w:r>
      <w:proofErr w:type="spellStart"/>
      <w:r w:rsidR="00BC372E" w:rsidRPr="00332D83">
        <w:rPr>
          <w:rFonts w:ascii="Times New Roman" w:hAnsi="Times New Roman" w:cs="Times New Roman"/>
          <w:sz w:val="24"/>
          <w:szCs w:val="24"/>
        </w:rPr>
        <w:t>Macmillan</w:t>
      </w:r>
      <w:proofErr w:type="spellEnd"/>
      <w:r w:rsidR="00941B43" w:rsidRPr="00332D83">
        <w:rPr>
          <w:rFonts w:ascii="Times New Roman" w:hAnsi="Times New Roman" w:cs="Times New Roman"/>
          <w:sz w:val="24"/>
          <w:szCs w:val="24"/>
        </w:rPr>
        <w:t>.</w:t>
      </w:r>
    </w:p>
    <w:p w:rsidR="00BC372E" w:rsidRPr="00332D83" w:rsidRDefault="00865257" w:rsidP="00BC372E">
      <w:pPr>
        <w:spacing w:after="240" w:line="240" w:lineRule="auto"/>
        <w:jc w:val="both"/>
        <w:rPr>
          <w:rFonts w:ascii="Times New Roman" w:hAnsi="Times New Roman" w:cs="Times New Roman"/>
          <w:sz w:val="24"/>
          <w:szCs w:val="24"/>
          <w:lang w:val="en-US"/>
        </w:rPr>
      </w:pPr>
      <w:r w:rsidRPr="00332D83">
        <w:rPr>
          <w:rFonts w:ascii="Times New Roman" w:hAnsi="Times New Roman" w:cs="Times New Roman"/>
          <w:sz w:val="24"/>
          <w:szCs w:val="24"/>
        </w:rPr>
        <w:t>CONTI, B.</w:t>
      </w:r>
      <w:r>
        <w:rPr>
          <w:rFonts w:ascii="Times New Roman" w:hAnsi="Times New Roman" w:cs="Times New Roman"/>
          <w:sz w:val="24"/>
          <w:szCs w:val="24"/>
        </w:rPr>
        <w:t>,</w:t>
      </w:r>
      <w:r w:rsidRPr="00332D83">
        <w:rPr>
          <w:rFonts w:ascii="Times New Roman" w:hAnsi="Times New Roman" w:cs="Times New Roman"/>
          <w:sz w:val="24"/>
          <w:szCs w:val="24"/>
        </w:rPr>
        <w:t xml:space="preserve"> PRATES, D.</w:t>
      </w:r>
      <w:proofErr w:type="gramStart"/>
      <w:r>
        <w:rPr>
          <w:rFonts w:ascii="Times New Roman" w:hAnsi="Times New Roman" w:cs="Times New Roman"/>
          <w:sz w:val="24"/>
          <w:szCs w:val="24"/>
        </w:rPr>
        <w:t>,</w:t>
      </w:r>
      <w:r w:rsidRPr="00332D83">
        <w:rPr>
          <w:rFonts w:ascii="Times New Roman" w:hAnsi="Times New Roman" w:cs="Times New Roman"/>
          <w:sz w:val="24"/>
          <w:szCs w:val="24"/>
        </w:rPr>
        <w:t xml:space="preserve">  PLIHON</w:t>
      </w:r>
      <w:proofErr w:type="gramEnd"/>
      <w:r w:rsidRPr="00332D83">
        <w:rPr>
          <w:rFonts w:ascii="Times New Roman" w:hAnsi="Times New Roman" w:cs="Times New Roman"/>
          <w:sz w:val="24"/>
          <w:szCs w:val="24"/>
        </w:rPr>
        <w:t xml:space="preserve">, D. (2013) </w:t>
      </w:r>
      <w:r w:rsidR="00BC372E" w:rsidRPr="00332D83">
        <w:rPr>
          <w:rFonts w:ascii="Times New Roman" w:hAnsi="Times New Roman" w:cs="Times New Roman"/>
          <w:sz w:val="24"/>
          <w:szCs w:val="24"/>
        </w:rPr>
        <w:t xml:space="preserve">O </w:t>
      </w:r>
      <w:r w:rsidR="00BC372E" w:rsidRPr="00332D83">
        <w:rPr>
          <w:rFonts w:ascii="Times New Roman" w:hAnsi="Times New Roman" w:cs="Times New Roman"/>
          <w:i/>
          <w:sz w:val="24"/>
          <w:szCs w:val="24"/>
        </w:rPr>
        <w:t>Sistema Monetário Internacional e seu Caráter Hierarquizado</w:t>
      </w:r>
      <w:r w:rsidR="00BC372E" w:rsidRPr="00332D83">
        <w:rPr>
          <w:rFonts w:ascii="Times New Roman" w:hAnsi="Times New Roman" w:cs="Times New Roman"/>
          <w:sz w:val="24"/>
          <w:szCs w:val="24"/>
        </w:rPr>
        <w:t xml:space="preserve">. In: Cintra, M. e Martins, A. (org.). </w:t>
      </w:r>
      <w:r w:rsidR="00BC372E" w:rsidRPr="00332D83">
        <w:rPr>
          <w:rFonts w:ascii="Times New Roman" w:hAnsi="Times New Roman" w:cs="Times New Roman"/>
          <w:bCs/>
          <w:sz w:val="24"/>
          <w:szCs w:val="24"/>
        </w:rPr>
        <w:t xml:space="preserve">As transformações no sistema monetário internacional. </w:t>
      </w:r>
      <w:r w:rsidR="00214507" w:rsidRPr="00332D83">
        <w:rPr>
          <w:rFonts w:ascii="Times New Roman" w:hAnsi="Times New Roman" w:cs="Times New Roman"/>
          <w:sz w:val="24"/>
          <w:szCs w:val="24"/>
          <w:lang w:val="en-US"/>
        </w:rPr>
        <w:t xml:space="preserve">Brasília: </w:t>
      </w:r>
      <w:proofErr w:type="spellStart"/>
      <w:r w:rsidR="00214507" w:rsidRPr="00332D83">
        <w:rPr>
          <w:rFonts w:ascii="Times New Roman" w:hAnsi="Times New Roman" w:cs="Times New Roman"/>
          <w:sz w:val="24"/>
          <w:szCs w:val="24"/>
          <w:lang w:val="en-US"/>
        </w:rPr>
        <w:t>Ipea</w:t>
      </w:r>
      <w:proofErr w:type="spellEnd"/>
      <w:r w:rsidR="00214507" w:rsidRPr="00332D83">
        <w:rPr>
          <w:rFonts w:ascii="Times New Roman" w:hAnsi="Times New Roman" w:cs="Times New Roman"/>
          <w:sz w:val="24"/>
          <w:szCs w:val="24"/>
          <w:lang w:val="en-US"/>
        </w:rPr>
        <w:t>.</w:t>
      </w:r>
    </w:p>
    <w:p w:rsidR="00CB3FD9" w:rsidRPr="00F61DD9" w:rsidRDefault="005C4ECA" w:rsidP="005C4ECA">
      <w:pPr>
        <w:spacing w:after="240" w:line="240" w:lineRule="auto"/>
        <w:jc w:val="both"/>
        <w:rPr>
          <w:rFonts w:ascii="Times New Roman" w:eastAsia="Arial Unicode MS" w:hAnsi="Times New Roman" w:cs="Times New Roman"/>
          <w:sz w:val="24"/>
          <w:szCs w:val="24"/>
          <w:lang w:eastAsia="pt-BR"/>
        </w:rPr>
      </w:pPr>
      <w:r w:rsidRPr="00332D83">
        <w:rPr>
          <w:rFonts w:ascii="Times New Roman" w:hAnsi="Times New Roman" w:cs="Times New Roman"/>
          <w:sz w:val="24"/>
          <w:szCs w:val="24"/>
          <w:lang w:val="en-US"/>
        </w:rPr>
        <w:t>DE CECCO</w:t>
      </w:r>
      <w:r w:rsidR="00214507" w:rsidRPr="00332D83">
        <w:rPr>
          <w:rFonts w:ascii="Times New Roman" w:hAnsi="Times New Roman" w:cs="Times New Roman"/>
          <w:sz w:val="24"/>
          <w:szCs w:val="24"/>
          <w:lang w:val="en-US"/>
        </w:rPr>
        <w:t>, M. (1974) Money and Empire. The International Gold-Standard, 1890-1914.</w:t>
      </w:r>
      <w:r w:rsidR="00214507" w:rsidRPr="00332D83">
        <w:rPr>
          <w:rFonts w:ascii="Times New Roman" w:hAnsi="Times New Roman" w:cs="Times New Roman"/>
          <w:sz w:val="24"/>
          <w:szCs w:val="24"/>
          <w:lang w:val="en-US"/>
        </w:rPr>
        <w:br/>
      </w:r>
      <w:proofErr w:type="spellStart"/>
      <w:r w:rsidR="00214507" w:rsidRPr="00F61DD9">
        <w:rPr>
          <w:rFonts w:ascii="Times New Roman" w:hAnsi="Times New Roman" w:cs="Times New Roman"/>
          <w:sz w:val="24"/>
          <w:szCs w:val="24"/>
        </w:rPr>
        <w:t>Basil</w:t>
      </w:r>
      <w:proofErr w:type="spellEnd"/>
      <w:r w:rsidR="00214507" w:rsidRPr="00F61DD9">
        <w:rPr>
          <w:rFonts w:ascii="Times New Roman" w:hAnsi="Times New Roman" w:cs="Times New Roman"/>
          <w:sz w:val="24"/>
          <w:szCs w:val="24"/>
        </w:rPr>
        <w:t xml:space="preserve"> </w:t>
      </w:r>
      <w:proofErr w:type="spellStart"/>
      <w:r w:rsidR="00214507" w:rsidRPr="00F61DD9">
        <w:rPr>
          <w:rFonts w:ascii="Times New Roman" w:hAnsi="Times New Roman" w:cs="Times New Roman"/>
          <w:sz w:val="24"/>
          <w:szCs w:val="24"/>
        </w:rPr>
        <w:t>Blackwell</w:t>
      </w:r>
      <w:proofErr w:type="spellEnd"/>
      <w:r w:rsidR="00214507" w:rsidRPr="00F61DD9">
        <w:rPr>
          <w:rFonts w:ascii="Times New Roman" w:hAnsi="Times New Roman" w:cs="Times New Roman"/>
          <w:sz w:val="24"/>
          <w:szCs w:val="24"/>
        </w:rPr>
        <w:t>: Oxford.</w:t>
      </w:r>
      <w:r w:rsidR="00CB3FD9" w:rsidRPr="00F61DD9">
        <w:rPr>
          <w:rFonts w:ascii="Times New Roman" w:eastAsia="Arial Unicode MS" w:hAnsi="Times New Roman" w:cs="Times New Roman"/>
          <w:sz w:val="24"/>
          <w:szCs w:val="24"/>
          <w:lang w:eastAsia="pt-BR"/>
        </w:rPr>
        <w:t>.</w:t>
      </w:r>
    </w:p>
    <w:p w:rsidR="006022EE" w:rsidRDefault="005C4ECA" w:rsidP="00FB16E4">
      <w:pPr>
        <w:spacing w:after="240" w:line="240" w:lineRule="auto"/>
        <w:jc w:val="both"/>
        <w:rPr>
          <w:rFonts w:ascii="Times New Roman" w:hAnsi="Times New Roman" w:cs="Times New Roman"/>
          <w:lang w:val="en-US"/>
        </w:rPr>
      </w:pPr>
      <w:r w:rsidRPr="00332D83">
        <w:rPr>
          <w:rFonts w:ascii="Times New Roman" w:hAnsi="Times New Roman" w:cs="Times New Roman"/>
          <w:sz w:val="24"/>
          <w:szCs w:val="24"/>
        </w:rPr>
        <w:t>EICHENGREEN</w:t>
      </w:r>
      <w:r w:rsidR="006022EE" w:rsidRPr="00332D83">
        <w:rPr>
          <w:rFonts w:ascii="Times New Roman" w:hAnsi="Times New Roman" w:cs="Times New Roman"/>
          <w:sz w:val="24"/>
          <w:szCs w:val="24"/>
        </w:rPr>
        <w:t xml:space="preserve">, B. (2011). </w:t>
      </w:r>
      <w:r w:rsidR="006022EE" w:rsidRPr="00332D83">
        <w:rPr>
          <w:rFonts w:ascii="Times New Roman" w:hAnsi="Times New Roman" w:cs="Times New Roman"/>
          <w:bCs/>
          <w:sz w:val="24"/>
          <w:szCs w:val="24"/>
        </w:rPr>
        <w:t xml:space="preserve">Privilégio exorbitante: a ascensão e a queda do dólar e o futuro do sistema monetário internacional. </w:t>
      </w:r>
      <w:r w:rsidR="006022EE" w:rsidRPr="00332D83">
        <w:rPr>
          <w:rFonts w:ascii="Times New Roman" w:hAnsi="Times New Roman" w:cs="Times New Roman"/>
          <w:sz w:val="24"/>
          <w:szCs w:val="24"/>
          <w:lang w:val="en-US"/>
        </w:rPr>
        <w:t>Rio de Janeiro: Elsevier</w:t>
      </w:r>
      <w:r w:rsidR="006022EE" w:rsidRPr="00332D83">
        <w:rPr>
          <w:rFonts w:ascii="Times New Roman" w:hAnsi="Times New Roman" w:cs="Times New Roman"/>
          <w:lang w:val="en-US"/>
        </w:rPr>
        <w:t>.</w:t>
      </w:r>
    </w:p>
    <w:p w:rsidR="00D14C7C" w:rsidRPr="00332D83" w:rsidRDefault="005C4ECA" w:rsidP="00F212C6">
      <w:pPr>
        <w:shd w:val="clear" w:color="auto" w:fill="FFFFFF"/>
        <w:spacing w:after="0" w:line="240" w:lineRule="auto"/>
        <w:jc w:val="both"/>
        <w:rPr>
          <w:rFonts w:ascii="Times New Roman" w:eastAsia="Arial Unicode MS" w:hAnsi="Times New Roman" w:cs="Times New Roman"/>
          <w:sz w:val="24"/>
          <w:szCs w:val="24"/>
          <w:lang w:val="en-US" w:eastAsia="pt-BR"/>
        </w:rPr>
      </w:pPr>
      <w:r w:rsidRPr="00332D83">
        <w:rPr>
          <w:rFonts w:ascii="Times New Roman" w:eastAsia="Arial Unicode MS" w:hAnsi="Times New Roman" w:cs="Times New Roman"/>
          <w:sz w:val="24"/>
          <w:szCs w:val="24"/>
          <w:lang w:val="en-US" w:eastAsia="pt-BR"/>
        </w:rPr>
        <w:t xml:space="preserve">FUNDO MONETÁRIO INTERNACIONAL </w:t>
      </w:r>
      <w:r w:rsidR="00D14C7C" w:rsidRPr="00332D83">
        <w:rPr>
          <w:rFonts w:ascii="Times New Roman" w:eastAsia="Arial Unicode MS" w:hAnsi="Times New Roman" w:cs="Times New Roman"/>
          <w:sz w:val="24"/>
          <w:szCs w:val="24"/>
          <w:lang w:val="en-US" w:eastAsia="pt-BR"/>
        </w:rPr>
        <w:t>– FMI (2017):</w:t>
      </w:r>
      <w:hyperlink r:id="rId12" w:history="1">
        <w:r w:rsidR="00D14C7C" w:rsidRPr="00332D83">
          <w:rPr>
            <w:rFonts w:ascii="Times New Roman" w:eastAsia="Arial Unicode MS" w:hAnsi="Times New Roman" w:cs="Times New Roman"/>
            <w:sz w:val="24"/>
            <w:szCs w:val="24"/>
            <w:lang w:val="en-US" w:eastAsia="pt-BR"/>
          </w:rPr>
          <w:t>"IMF Releases Data on the Currency Composition of Foreign Exchange Reserves Including Holdings in Renminbi"</w:t>
        </w:r>
      </w:hyperlink>
      <w:r w:rsidR="00D14C7C" w:rsidRPr="00332D83">
        <w:rPr>
          <w:rFonts w:ascii="Times New Roman" w:eastAsia="Arial Unicode MS" w:hAnsi="Times New Roman" w:cs="Times New Roman"/>
          <w:i/>
          <w:iCs/>
          <w:sz w:val="24"/>
          <w:szCs w:val="24"/>
          <w:lang w:val="en-US" w:eastAsia="pt-BR"/>
        </w:rPr>
        <w:t xml:space="preserve">. Washington, DC: 31 de </w:t>
      </w:r>
      <w:proofErr w:type="spellStart"/>
      <w:r w:rsidR="00D14C7C" w:rsidRPr="00332D83">
        <w:rPr>
          <w:rFonts w:ascii="Times New Roman" w:eastAsia="Arial Unicode MS" w:hAnsi="Times New Roman" w:cs="Times New Roman"/>
          <w:i/>
          <w:iCs/>
          <w:sz w:val="24"/>
          <w:szCs w:val="24"/>
          <w:lang w:val="en-US" w:eastAsia="pt-BR"/>
        </w:rPr>
        <w:t>Março</w:t>
      </w:r>
      <w:proofErr w:type="spellEnd"/>
      <w:r w:rsidR="00D14C7C" w:rsidRPr="00332D83">
        <w:rPr>
          <w:rFonts w:ascii="Times New Roman" w:eastAsia="Arial Unicode MS" w:hAnsi="Times New Roman" w:cs="Times New Roman"/>
          <w:i/>
          <w:iCs/>
          <w:sz w:val="24"/>
          <w:szCs w:val="24"/>
          <w:lang w:val="en-US" w:eastAsia="pt-BR"/>
        </w:rPr>
        <w:t>.</w:t>
      </w:r>
    </w:p>
    <w:p w:rsidR="00D14C7C" w:rsidRPr="00332D83" w:rsidRDefault="00C4075C" w:rsidP="00F212C6">
      <w:pPr>
        <w:shd w:val="clear" w:color="auto" w:fill="FFFFFF"/>
        <w:spacing w:after="0" w:line="240" w:lineRule="auto"/>
        <w:jc w:val="both"/>
        <w:rPr>
          <w:rFonts w:ascii="Times New Roman" w:eastAsia="Arial Unicode MS" w:hAnsi="Times New Roman" w:cs="Times New Roman"/>
          <w:sz w:val="24"/>
          <w:szCs w:val="24"/>
          <w:lang w:val="en-US" w:eastAsia="pt-BR"/>
        </w:rPr>
      </w:pPr>
      <w:hyperlink r:id="rId13" w:history="1">
        <w:r w:rsidR="00D14C7C" w:rsidRPr="00332D83">
          <w:rPr>
            <w:rFonts w:ascii="Times New Roman" w:eastAsia="Arial Unicode MS" w:hAnsi="Times New Roman" w:cs="Times New Roman"/>
            <w:lang w:val="en-US" w:eastAsia="pt-BR"/>
          </w:rPr>
          <w:t>h</w:t>
        </w:r>
        <w:r w:rsidR="00D14C7C" w:rsidRPr="00332D83">
          <w:rPr>
            <w:rStyle w:val="Hyperlink"/>
            <w:rFonts w:ascii="Times New Roman" w:hAnsi="Times New Roman" w:cs="Times New Roman"/>
            <w:sz w:val="24"/>
            <w:szCs w:val="24"/>
            <w:lang w:val="en-US" w:eastAsia="pt-BR"/>
          </w:rPr>
          <w:t>ttp://www.imf.org/en/News/Articles/2017/03/31/pr17108-IMF-Releases-Data-on-the-Currency-Composition-of-Foreign-Exchange-Reserves</w:t>
        </w:r>
      </w:hyperlink>
    </w:p>
    <w:p w:rsidR="00D14C7C" w:rsidRPr="00332D83" w:rsidRDefault="00D14C7C" w:rsidP="00F212C6">
      <w:pPr>
        <w:shd w:val="clear" w:color="auto" w:fill="FFFFFF"/>
        <w:spacing w:after="0" w:line="240" w:lineRule="auto"/>
        <w:jc w:val="both"/>
        <w:rPr>
          <w:rFonts w:ascii="Times New Roman" w:hAnsi="Times New Roman" w:cs="Times New Roman"/>
          <w:sz w:val="24"/>
          <w:szCs w:val="24"/>
          <w:lang w:val="en-US"/>
        </w:rPr>
      </w:pPr>
    </w:p>
    <w:p w:rsidR="00D1792E" w:rsidRPr="00332D83" w:rsidRDefault="005C4ECA" w:rsidP="00F212C6">
      <w:pPr>
        <w:shd w:val="clear" w:color="auto" w:fill="FFFFFF"/>
        <w:spacing w:after="0" w:line="240" w:lineRule="auto"/>
        <w:jc w:val="both"/>
        <w:rPr>
          <w:rFonts w:ascii="Times New Roman" w:hAnsi="Times New Roman" w:cs="Times New Roman"/>
          <w:sz w:val="24"/>
          <w:szCs w:val="24"/>
          <w:lang w:val="en-US"/>
        </w:rPr>
      </w:pPr>
      <w:proofErr w:type="spellStart"/>
      <w:r w:rsidRPr="00332D83">
        <w:rPr>
          <w:rFonts w:ascii="Times New Roman" w:hAnsi="Times New Roman" w:cs="Times New Roman"/>
          <w:sz w:val="24"/>
          <w:szCs w:val="24"/>
          <w:lang w:val="en-US"/>
        </w:rPr>
        <w:t>GALLAROTT</w:t>
      </w:r>
      <w:r w:rsidR="0063025E" w:rsidRPr="00332D83">
        <w:rPr>
          <w:rFonts w:ascii="Times New Roman" w:hAnsi="Times New Roman" w:cs="Times New Roman"/>
          <w:sz w:val="24"/>
          <w:szCs w:val="24"/>
          <w:lang w:val="en-US"/>
        </w:rPr>
        <w:t>i</w:t>
      </w:r>
      <w:proofErr w:type="spellEnd"/>
      <w:r w:rsidR="0063025E" w:rsidRPr="00332D83">
        <w:rPr>
          <w:rFonts w:ascii="Times New Roman" w:hAnsi="Times New Roman" w:cs="Times New Roman"/>
          <w:sz w:val="24"/>
          <w:szCs w:val="24"/>
          <w:lang w:val="en-US"/>
        </w:rPr>
        <w:t>, G</w:t>
      </w:r>
      <w:r w:rsidR="00A0793F" w:rsidRPr="00332D83">
        <w:rPr>
          <w:rFonts w:ascii="Times New Roman" w:hAnsi="Times New Roman" w:cs="Times New Roman"/>
          <w:sz w:val="24"/>
          <w:szCs w:val="24"/>
          <w:lang w:val="en-US"/>
        </w:rPr>
        <w:t>.</w:t>
      </w:r>
      <w:r w:rsidR="0063025E" w:rsidRPr="00332D83">
        <w:rPr>
          <w:rFonts w:ascii="Times New Roman" w:hAnsi="Times New Roman" w:cs="Times New Roman"/>
          <w:sz w:val="24"/>
          <w:szCs w:val="24"/>
          <w:lang w:val="en-US"/>
        </w:rPr>
        <w:t xml:space="preserve"> (1995). The Anatomy of an International Monetary Regime: The Classical Gold Standard 1880-1914. Oxford University Press.</w:t>
      </w:r>
    </w:p>
    <w:p w:rsidR="00D1792E" w:rsidRPr="00332D83" w:rsidRDefault="00D1792E" w:rsidP="00F212C6">
      <w:pPr>
        <w:shd w:val="clear" w:color="auto" w:fill="FFFFFF"/>
        <w:spacing w:after="0" w:line="240" w:lineRule="auto"/>
        <w:jc w:val="both"/>
        <w:rPr>
          <w:rFonts w:ascii="Times New Roman" w:hAnsi="Times New Roman" w:cs="Times New Roman"/>
          <w:sz w:val="24"/>
          <w:szCs w:val="24"/>
          <w:lang w:val="en-US"/>
        </w:rPr>
      </w:pPr>
    </w:p>
    <w:p w:rsidR="005014D1" w:rsidRPr="00332D83" w:rsidRDefault="00865257" w:rsidP="006C7957">
      <w:pPr>
        <w:spacing w:after="0" w:line="240" w:lineRule="auto"/>
        <w:jc w:val="both"/>
        <w:rPr>
          <w:rFonts w:ascii="Times New Roman" w:hAnsi="Times New Roman" w:cs="Times New Roman"/>
          <w:sz w:val="24"/>
          <w:szCs w:val="24"/>
          <w:lang w:val="en-US"/>
        </w:rPr>
      </w:pPr>
      <w:r w:rsidRPr="00332D83">
        <w:rPr>
          <w:rFonts w:ascii="Times New Roman" w:hAnsi="Times New Roman" w:cs="Times New Roman"/>
          <w:sz w:val="24"/>
          <w:szCs w:val="24"/>
          <w:lang w:val="en-US"/>
        </w:rPr>
        <w:t>KINDLEBERGER</w:t>
      </w:r>
      <w:r w:rsidR="005014D1" w:rsidRPr="00332D83">
        <w:rPr>
          <w:rFonts w:ascii="Times New Roman" w:hAnsi="Times New Roman" w:cs="Times New Roman"/>
          <w:sz w:val="24"/>
          <w:szCs w:val="24"/>
          <w:lang w:val="en-US"/>
        </w:rPr>
        <w:t>, C. (1967) “The Politics of International Money and World Language</w:t>
      </w:r>
      <w:r w:rsidR="006C7957" w:rsidRPr="00332D83">
        <w:rPr>
          <w:rFonts w:ascii="Times New Roman" w:hAnsi="Times New Roman" w:cs="Times New Roman"/>
          <w:sz w:val="24"/>
          <w:szCs w:val="24"/>
          <w:lang w:val="en-US"/>
        </w:rPr>
        <w:t>”.</w:t>
      </w:r>
      <w:r w:rsidR="005014D1" w:rsidRPr="00332D83">
        <w:rPr>
          <w:rFonts w:ascii="Times New Roman" w:hAnsi="Times New Roman" w:cs="Times New Roman"/>
          <w:sz w:val="24"/>
          <w:szCs w:val="24"/>
          <w:lang w:val="en-US"/>
        </w:rPr>
        <w:t xml:space="preserve"> </w:t>
      </w:r>
      <w:r w:rsidR="006C7957" w:rsidRPr="00332D83">
        <w:rPr>
          <w:rFonts w:ascii="Times New Roman" w:hAnsi="Times New Roman" w:cs="Times New Roman"/>
          <w:sz w:val="24"/>
          <w:szCs w:val="24"/>
          <w:lang w:val="en-US"/>
        </w:rPr>
        <w:t>E</w:t>
      </w:r>
      <w:r w:rsidR="005014D1" w:rsidRPr="00332D83">
        <w:rPr>
          <w:rFonts w:ascii="Times New Roman" w:hAnsi="Times New Roman" w:cs="Times New Roman"/>
          <w:sz w:val="24"/>
          <w:szCs w:val="24"/>
          <w:lang w:val="en-US"/>
        </w:rPr>
        <w:t>ssays in International Finance, no. 61 Princeton: International Finance Section</w:t>
      </w:r>
    </w:p>
    <w:p w:rsidR="006C7957" w:rsidRPr="00332D83" w:rsidRDefault="00C4075C" w:rsidP="006C7957">
      <w:pPr>
        <w:spacing w:after="0" w:line="240" w:lineRule="auto"/>
        <w:jc w:val="both"/>
        <w:rPr>
          <w:rFonts w:ascii="Times New Roman" w:hAnsi="Times New Roman" w:cs="Times New Roman"/>
          <w:sz w:val="24"/>
          <w:szCs w:val="24"/>
          <w:lang w:val="en-US"/>
        </w:rPr>
      </w:pPr>
      <w:hyperlink r:id="rId14" w:history="1">
        <w:r w:rsidR="006C7957" w:rsidRPr="00332D83">
          <w:rPr>
            <w:rStyle w:val="Hyperlink"/>
            <w:rFonts w:ascii="Times New Roman" w:hAnsi="Times New Roman" w:cs="Times New Roman"/>
            <w:sz w:val="24"/>
            <w:szCs w:val="24"/>
            <w:lang w:val="en-US"/>
          </w:rPr>
          <w:t>https://www.princeton.edu/~ies/IES_Essays/E61.pdf</w:t>
        </w:r>
      </w:hyperlink>
    </w:p>
    <w:p w:rsidR="005014D1" w:rsidRPr="00332D83" w:rsidRDefault="005014D1" w:rsidP="00F212C6">
      <w:pPr>
        <w:shd w:val="clear" w:color="auto" w:fill="FFFFFF"/>
        <w:spacing w:after="0" w:line="240" w:lineRule="auto"/>
        <w:jc w:val="both"/>
        <w:rPr>
          <w:rFonts w:ascii="Times New Roman" w:hAnsi="Times New Roman" w:cs="Times New Roman"/>
          <w:sz w:val="24"/>
          <w:szCs w:val="24"/>
          <w:lang w:val="en-US"/>
        </w:rPr>
      </w:pPr>
    </w:p>
    <w:p w:rsidR="00A50682" w:rsidRPr="00332D83" w:rsidRDefault="005C4ECA" w:rsidP="00F212C6">
      <w:pPr>
        <w:spacing w:line="240" w:lineRule="auto"/>
        <w:jc w:val="both"/>
        <w:rPr>
          <w:rFonts w:ascii="Times New Roman" w:hAnsi="Times New Roman" w:cs="Times New Roman"/>
          <w:sz w:val="24"/>
          <w:szCs w:val="24"/>
          <w:lang w:val="en-US"/>
        </w:rPr>
      </w:pPr>
      <w:r w:rsidRPr="00332D83">
        <w:rPr>
          <w:rFonts w:ascii="Times New Roman" w:hAnsi="Times New Roman" w:cs="Times New Roman"/>
          <w:sz w:val="24"/>
          <w:szCs w:val="24"/>
          <w:lang w:val="en-US"/>
        </w:rPr>
        <w:t xml:space="preserve">KIRSHNER, </w:t>
      </w:r>
      <w:r w:rsidR="002110EF" w:rsidRPr="00332D83">
        <w:rPr>
          <w:rFonts w:ascii="Times New Roman" w:hAnsi="Times New Roman" w:cs="Times New Roman"/>
          <w:sz w:val="24"/>
          <w:szCs w:val="24"/>
          <w:lang w:val="en-US"/>
        </w:rPr>
        <w:t>J. (1995). Currency and coercion: The political economy of international monetary power. Princeton, N.J: Princeton University Press</w:t>
      </w:r>
    </w:p>
    <w:p w:rsidR="00CB151A" w:rsidRPr="00332D83" w:rsidRDefault="005F1371" w:rsidP="00F212C6">
      <w:pPr>
        <w:spacing w:line="240" w:lineRule="auto"/>
        <w:jc w:val="both"/>
        <w:rPr>
          <w:rFonts w:ascii="Times New Roman" w:hAnsi="Times New Roman" w:cs="Times New Roman"/>
          <w:sz w:val="24"/>
          <w:szCs w:val="24"/>
          <w:lang w:val="en-US"/>
        </w:rPr>
      </w:pPr>
      <w:r w:rsidRPr="00332D83">
        <w:rPr>
          <w:rFonts w:ascii="Times New Roman" w:hAnsi="Times New Roman" w:cs="Times New Roman"/>
          <w:sz w:val="24"/>
          <w:szCs w:val="24"/>
          <w:lang w:val="en-US"/>
        </w:rPr>
        <w:t>MANN, M. (1988). STATES, WAR AND CAPITAL. BLACKWELL.</w:t>
      </w:r>
    </w:p>
    <w:p w:rsidR="00F27FFD" w:rsidRPr="00332D83" w:rsidRDefault="00534F7C" w:rsidP="00F212C6">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lang w:val="en-US"/>
        </w:rPr>
        <w:t>MARTIN</w:t>
      </w:r>
      <w:r w:rsidR="004D48FC" w:rsidRPr="00332D83">
        <w:rPr>
          <w:rFonts w:ascii="Times New Roman" w:hAnsi="Times New Roman" w:cs="Times New Roman"/>
          <w:sz w:val="24"/>
          <w:szCs w:val="24"/>
          <w:lang w:val="en-US"/>
        </w:rPr>
        <w:t xml:space="preserve">, F. </w:t>
      </w:r>
      <w:r w:rsidR="00263335" w:rsidRPr="00332D83">
        <w:rPr>
          <w:rFonts w:ascii="Times New Roman" w:hAnsi="Times New Roman" w:cs="Times New Roman"/>
          <w:sz w:val="24"/>
          <w:szCs w:val="24"/>
          <w:lang w:val="en-US"/>
        </w:rPr>
        <w:t xml:space="preserve"> </w:t>
      </w:r>
      <w:r w:rsidR="004D48FC" w:rsidRPr="00332D83">
        <w:rPr>
          <w:rFonts w:ascii="Times New Roman" w:hAnsi="Times New Roman" w:cs="Times New Roman"/>
          <w:sz w:val="24"/>
          <w:szCs w:val="24"/>
          <w:lang w:val="en-US"/>
        </w:rPr>
        <w:t>(2014)</w:t>
      </w:r>
      <w:r w:rsidR="003B6D07" w:rsidRPr="00332D83">
        <w:rPr>
          <w:rFonts w:ascii="Times New Roman" w:hAnsi="Times New Roman" w:cs="Times New Roman"/>
          <w:sz w:val="24"/>
          <w:szCs w:val="24"/>
          <w:lang w:val="en-US"/>
        </w:rPr>
        <w:t>.</w:t>
      </w:r>
      <w:r w:rsidR="004D48FC" w:rsidRPr="00332D83">
        <w:rPr>
          <w:rFonts w:ascii="Times New Roman" w:hAnsi="Times New Roman" w:cs="Times New Roman"/>
          <w:sz w:val="24"/>
          <w:szCs w:val="24"/>
          <w:lang w:val="en-US"/>
        </w:rPr>
        <w:t xml:space="preserve"> Money: the unauthorized biography. </w:t>
      </w:r>
      <w:r w:rsidR="004D48FC" w:rsidRPr="00332D83">
        <w:rPr>
          <w:rFonts w:ascii="Times New Roman" w:hAnsi="Times New Roman" w:cs="Times New Roman"/>
          <w:sz w:val="24"/>
          <w:szCs w:val="24"/>
        </w:rPr>
        <w:t xml:space="preserve">London, </w:t>
      </w:r>
      <w:proofErr w:type="spellStart"/>
      <w:r w:rsidR="004D48FC" w:rsidRPr="00332D83">
        <w:rPr>
          <w:rFonts w:ascii="Times New Roman" w:hAnsi="Times New Roman" w:cs="Times New Roman"/>
          <w:sz w:val="24"/>
          <w:szCs w:val="24"/>
        </w:rPr>
        <w:t>Vintage</w:t>
      </w:r>
      <w:proofErr w:type="spellEnd"/>
      <w:r w:rsidR="004D48FC" w:rsidRPr="00332D83">
        <w:rPr>
          <w:rFonts w:ascii="Times New Roman" w:hAnsi="Times New Roman" w:cs="Times New Roman"/>
          <w:sz w:val="24"/>
          <w:szCs w:val="24"/>
        </w:rPr>
        <w:t>.</w:t>
      </w:r>
    </w:p>
    <w:p w:rsidR="00F27FFD" w:rsidRPr="00332D83" w:rsidRDefault="005F1371" w:rsidP="00F212C6">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MIAGUTI</w:t>
      </w:r>
      <w:r w:rsidR="00F27FFD" w:rsidRPr="00332D83">
        <w:rPr>
          <w:rFonts w:ascii="Times New Roman" w:hAnsi="Times New Roman" w:cs="Times New Roman"/>
          <w:sz w:val="24"/>
          <w:szCs w:val="24"/>
        </w:rPr>
        <w:t xml:space="preserve">, C. (2016). “A ascensão do dólar e a crise do padrão ouro-libra (1913-1931)”. </w:t>
      </w:r>
      <w:r w:rsidR="00557293" w:rsidRPr="00332D83">
        <w:rPr>
          <w:rFonts w:ascii="Times New Roman" w:hAnsi="Times New Roman" w:cs="Times New Roman"/>
          <w:sz w:val="24"/>
          <w:szCs w:val="24"/>
        </w:rPr>
        <w:t>Rio de Janeiro</w:t>
      </w:r>
      <w:r w:rsidR="00F82C29" w:rsidRPr="00332D83">
        <w:rPr>
          <w:rFonts w:ascii="Times New Roman" w:hAnsi="Times New Roman" w:cs="Times New Roman"/>
          <w:sz w:val="24"/>
          <w:szCs w:val="24"/>
        </w:rPr>
        <w:t xml:space="preserve">. Dissertação de </w:t>
      </w:r>
      <w:r w:rsidR="00557293" w:rsidRPr="00332D83">
        <w:rPr>
          <w:rFonts w:ascii="Times New Roman" w:hAnsi="Times New Roman" w:cs="Times New Roman"/>
          <w:sz w:val="24"/>
          <w:szCs w:val="24"/>
        </w:rPr>
        <w:t xml:space="preserve">Mestrado em </w:t>
      </w:r>
      <w:r w:rsidR="00F82C29" w:rsidRPr="00332D83">
        <w:rPr>
          <w:rFonts w:ascii="Times New Roman" w:hAnsi="Times New Roman" w:cs="Times New Roman"/>
          <w:sz w:val="24"/>
          <w:szCs w:val="24"/>
        </w:rPr>
        <w:t>Economia Política Internacional</w:t>
      </w:r>
      <w:r w:rsidR="00557293" w:rsidRPr="00332D83">
        <w:rPr>
          <w:rFonts w:ascii="Times New Roman" w:hAnsi="Times New Roman" w:cs="Times New Roman"/>
          <w:sz w:val="24"/>
          <w:szCs w:val="24"/>
        </w:rPr>
        <w:t xml:space="preserve"> </w:t>
      </w:r>
      <w:r w:rsidR="00665203" w:rsidRPr="00332D83">
        <w:rPr>
          <w:rFonts w:ascii="Times New Roman" w:hAnsi="Times New Roman" w:cs="Times New Roman"/>
          <w:sz w:val="24"/>
          <w:szCs w:val="24"/>
        </w:rPr>
        <w:t>apresentada ao</w:t>
      </w:r>
      <w:r w:rsidR="00557293" w:rsidRPr="00332D83">
        <w:rPr>
          <w:rFonts w:ascii="Times New Roman" w:hAnsi="Times New Roman" w:cs="Times New Roman"/>
          <w:sz w:val="24"/>
          <w:szCs w:val="24"/>
        </w:rPr>
        <w:t xml:space="preserve"> Instituto</w:t>
      </w:r>
      <w:r w:rsidR="006F04EE" w:rsidRPr="00332D83">
        <w:rPr>
          <w:rFonts w:ascii="Times New Roman" w:hAnsi="Times New Roman" w:cs="Times New Roman"/>
          <w:sz w:val="24"/>
          <w:szCs w:val="24"/>
        </w:rPr>
        <w:t xml:space="preserve"> </w:t>
      </w:r>
      <w:r w:rsidR="00557293" w:rsidRPr="00332D83">
        <w:rPr>
          <w:rFonts w:ascii="Times New Roman" w:hAnsi="Times New Roman" w:cs="Times New Roman"/>
          <w:sz w:val="24"/>
          <w:szCs w:val="24"/>
        </w:rPr>
        <w:t>de Economia, Universidade Federal do Rio de Janeiro</w:t>
      </w:r>
      <w:r w:rsidR="00665203" w:rsidRPr="00332D83">
        <w:rPr>
          <w:rFonts w:ascii="Times New Roman" w:hAnsi="Times New Roman" w:cs="Times New Roman"/>
          <w:sz w:val="24"/>
          <w:szCs w:val="24"/>
        </w:rPr>
        <w:t xml:space="preserve">. </w:t>
      </w:r>
      <w:hyperlink r:id="rId15" w:history="1">
        <w:r w:rsidR="00557293" w:rsidRPr="00332D83">
          <w:rPr>
            <w:rStyle w:val="Hyperlink"/>
            <w:rFonts w:ascii="Times New Roman" w:hAnsi="Times New Roman" w:cs="Times New Roman"/>
            <w:sz w:val="24"/>
            <w:szCs w:val="24"/>
          </w:rPr>
          <w:t>https://franklinserrano.files.wordpress.com/2017/03/carol-mia-versc3a3o-final-dissertac3a7c3a3o-2017.pdf</w:t>
        </w:r>
      </w:hyperlink>
    </w:p>
    <w:p w:rsidR="000F10C5" w:rsidRPr="00332D83" w:rsidRDefault="006515CC" w:rsidP="00F212C6">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lastRenderedPageBreak/>
        <w:t xml:space="preserve">MOFFITT, </w:t>
      </w:r>
      <w:r w:rsidR="000F10C5" w:rsidRPr="00332D83">
        <w:rPr>
          <w:rFonts w:ascii="Times New Roman" w:hAnsi="Times New Roman" w:cs="Times New Roman"/>
          <w:sz w:val="24"/>
          <w:szCs w:val="24"/>
        </w:rPr>
        <w:t xml:space="preserve">M. (19840. O dinheiro do mundo: De </w:t>
      </w:r>
      <w:proofErr w:type="spellStart"/>
      <w:r w:rsidR="000F10C5" w:rsidRPr="00332D83">
        <w:rPr>
          <w:rFonts w:ascii="Times New Roman" w:hAnsi="Times New Roman" w:cs="Times New Roman"/>
          <w:sz w:val="24"/>
          <w:szCs w:val="24"/>
        </w:rPr>
        <w:t>Bretton</w:t>
      </w:r>
      <w:proofErr w:type="spellEnd"/>
      <w:r w:rsidR="000F10C5" w:rsidRPr="00332D83">
        <w:rPr>
          <w:rFonts w:ascii="Times New Roman" w:hAnsi="Times New Roman" w:cs="Times New Roman"/>
          <w:sz w:val="24"/>
          <w:szCs w:val="24"/>
        </w:rPr>
        <w:t xml:space="preserve"> Woods à beira da insolvência. Rio de Janeiro: Paz e Terra</w:t>
      </w:r>
    </w:p>
    <w:p w:rsidR="003556B9" w:rsidRPr="00332D83" w:rsidRDefault="006515CC" w:rsidP="00F212C6">
      <w:pPr>
        <w:spacing w:line="240" w:lineRule="auto"/>
        <w:jc w:val="both"/>
        <w:rPr>
          <w:rFonts w:ascii="Times New Roman" w:hAnsi="Times New Roman" w:cs="Times New Roman"/>
          <w:sz w:val="24"/>
          <w:szCs w:val="24"/>
          <w:lang w:val="en-US"/>
        </w:rPr>
      </w:pPr>
      <w:r w:rsidRPr="00031560">
        <w:rPr>
          <w:rFonts w:ascii="Times New Roman" w:hAnsi="Times New Roman" w:cs="Times New Roman"/>
          <w:sz w:val="24"/>
          <w:szCs w:val="24"/>
        </w:rPr>
        <w:t>ROSEVEARE</w:t>
      </w:r>
      <w:r w:rsidR="003B6D07" w:rsidRPr="00031560">
        <w:rPr>
          <w:rFonts w:ascii="Times New Roman" w:hAnsi="Times New Roman" w:cs="Times New Roman"/>
          <w:sz w:val="24"/>
          <w:szCs w:val="24"/>
        </w:rPr>
        <w:t xml:space="preserve">, H. (1991). The financial </w:t>
      </w:r>
      <w:proofErr w:type="spellStart"/>
      <w:r w:rsidR="003B6D07" w:rsidRPr="00031560">
        <w:rPr>
          <w:rFonts w:ascii="Times New Roman" w:hAnsi="Times New Roman" w:cs="Times New Roman"/>
          <w:sz w:val="24"/>
          <w:szCs w:val="24"/>
        </w:rPr>
        <w:t>revolution</w:t>
      </w:r>
      <w:proofErr w:type="spellEnd"/>
      <w:r w:rsidR="003B6D07" w:rsidRPr="00031560">
        <w:rPr>
          <w:rFonts w:ascii="Times New Roman" w:hAnsi="Times New Roman" w:cs="Times New Roman"/>
          <w:sz w:val="24"/>
          <w:szCs w:val="24"/>
        </w:rPr>
        <w:t xml:space="preserve">: 1660-1760. </w:t>
      </w:r>
      <w:r w:rsidR="003B6D07" w:rsidRPr="00332D83">
        <w:rPr>
          <w:rFonts w:ascii="Times New Roman" w:hAnsi="Times New Roman" w:cs="Times New Roman"/>
          <w:sz w:val="24"/>
          <w:szCs w:val="24"/>
          <w:lang w:val="en-US"/>
        </w:rPr>
        <w:t>London, Longman.</w:t>
      </w:r>
    </w:p>
    <w:p w:rsidR="003556B9" w:rsidRPr="00332D83" w:rsidRDefault="006515CC" w:rsidP="00F212C6">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lang w:val="en-US"/>
        </w:rPr>
        <w:t xml:space="preserve">PLESSIS, </w:t>
      </w:r>
      <w:r w:rsidR="003556B9" w:rsidRPr="00332D83">
        <w:rPr>
          <w:rFonts w:ascii="Times New Roman" w:hAnsi="Times New Roman" w:cs="Times New Roman"/>
          <w:sz w:val="24"/>
          <w:szCs w:val="24"/>
          <w:lang w:val="en-US"/>
        </w:rPr>
        <w:t xml:space="preserve">A. (2005). “When Paris Dreamed of Competing with the City” in Cassis, Y &amp; </w:t>
      </w:r>
      <w:proofErr w:type="spellStart"/>
      <w:r w:rsidR="003556B9" w:rsidRPr="00332D83">
        <w:rPr>
          <w:rFonts w:ascii="Times New Roman" w:hAnsi="Times New Roman" w:cs="Times New Roman"/>
          <w:sz w:val="24"/>
          <w:szCs w:val="24"/>
          <w:lang w:val="en-US"/>
        </w:rPr>
        <w:t>Bussière</w:t>
      </w:r>
      <w:proofErr w:type="spellEnd"/>
      <w:r w:rsidR="003556B9" w:rsidRPr="00332D83">
        <w:rPr>
          <w:rFonts w:ascii="Times New Roman" w:hAnsi="Times New Roman" w:cs="Times New Roman"/>
          <w:sz w:val="24"/>
          <w:szCs w:val="24"/>
          <w:lang w:val="en-US"/>
        </w:rPr>
        <w:t>, E. (</w:t>
      </w:r>
      <w:proofErr w:type="spellStart"/>
      <w:r w:rsidR="003556B9" w:rsidRPr="00332D83">
        <w:rPr>
          <w:rFonts w:ascii="Times New Roman" w:hAnsi="Times New Roman" w:cs="Times New Roman"/>
          <w:sz w:val="24"/>
          <w:szCs w:val="24"/>
          <w:lang w:val="en-US"/>
        </w:rPr>
        <w:t>Eds</w:t>
      </w:r>
      <w:proofErr w:type="spellEnd"/>
      <w:r w:rsidR="003556B9" w:rsidRPr="00332D83">
        <w:rPr>
          <w:rFonts w:ascii="Times New Roman" w:hAnsi="Times New Roman" w:cs="Times New Roman"/>
          <w:sz w:val="24"/>
          <w:szCs w:val="24"/>
          <w:lang w:val="en-US"/>
        </w:rPr>
        <w:t xml:space="preserve">) London and Paris as International Financial </w:t>
      </w:r>
      <w:proofErr w:type="spellStart"/>
      <w:r w:rsidR="003556B9" w:rsidRPr="00332D83">
        <w:rPr>
          <w:rFonts w:ascii="Times New Roman" w:hAnsi="Times New Roman" w:cs="Times New Roman"/>
          <w:sz w:val="24"/>
          <w:szCs w:val="24"/>
          <w:lang w:val="en-US"/>
        </w:rPr>
        <w:t>Centres</w:t>
      </w:r>
      <w:proofErr w:type="spellEnd"/>
      <w:r w:rsidR="003556B9" w:rsidRPr="00332D83">
        <w:rPr>
          <w:rFonts w:ascii="Times New Roman" w:hAnsi="Times New Roman" w:cs="Times New Roman"/>
          <w:sz w:val="24"/>
          <w:szCs w:val="24"/>
          <w:lang w:val="en-US"/>
        </w:rPr>
        <w:t xml:space="preserve"> in the Twentieth Century. </w:t>
      </w:r>
      <w:r w:rsidR="003556B9" w:rsidRPr="00332D83">
        <w:rPr>
          <w:rFonts w:ascii="Times New Roman" w:hAnsi="Times New Roman" w:cs="Times New Roman"/>
          <w:sz w:val="24"/>
          <w:szCs w:val="24"/>
        </w:rPr>
        <w:t xml:space="preserve">Oxford </w:t>
      </w:r>
      <w:proofErr w:type="spellStart"/>
      <w:r w:rsidR="003556B9" w:rsidRPr="00332D83">
        <w:rPr>
          <w:rFonts w:ascii="Times New Roman" w:hAnsi="Times New Roman" w:cs="Times New Roman"/>
          <w:sz w:val="24"/>
          <w:szCs w:val="24"/>
        </w:rPr>
        <w:t>University</w:t>
      </w:r>
      <w:proofErr w:type="spellEnd"/>
      <w:r w:rsidR="003556B9" w:rsidRPr="00332D83">
        <w:rPr>
          <w:rFonts w:ascii="Times New Roman" w:hAnsi="Times New Roman" w:cs="Times New Roman"/>
          <w:sz w:val="24"/>
          <w:szCs w:val="24"/>
        </w:rPr>
        <w:t xml:space="preserve"> Press</w:t>
      </w:r>
    </w:p>
    <w:p w:rsidR="003B6D07" w:rsidRPr="00332D83" w:rsidRDefault="003B6D07" w:rsidP="00F212C6">
      <w:pPr>
        <w:spacing w:line="240" w:lineRule="auto"/>
        <w:jc w:val="both"/>
        <w:rPr>
          <w:rFonts w:ascii="Times New Roman" w:eastAsia="Times New Roman" w:hAnsi="Times New Roman" w:cs="Times New Roman"/>
          <w:vanish/>
          <w:sz w:val="24"/>
          <w:szCs w:val="24"/>
          <w:lang w:eastAsia="pt-BR"/>
        </w:rPr>
      </w:pPr>
      <w:r w:rsidRPr="00332D83">
        <w:rPr>
          <w:rFonts w:ascii="Times New Roman" w:eastAsia="Times New Roman" w:hAnsi="Times New Roman" w:cs="Times New Roman"/>
          <w:vanish/>
          <w:sz w:val="24"/>
          <w:szCs w:val="24"/>
          <w:lang w:eastAsia="pt-BR"/>
        </w:rPr>
        <w:t>Parte inferior do formulário</w:t>
      </w:r>
    </w:p>
    <w:p w:rsidR="00524F19" w:rsidRPr="00332D83" w:rsidRDefault="006515CC" w:rsidP="00F212C6">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SERRANO</w:t>
      </w:r>
      <w:r w:rsidR="00524F19" w:rsidRPr="00332D83">
        <w:rPr>
          <w:rFonts w:ascii="Times New Roman" w:hAnsi="Times New Roman" w:cs="Times New Roman"/>
          <w:sz w:val="24"/>
          <w:szCs w:val="24"/>
        </w:rPr>
        <w:t xml:space="preserve">, F. (2002) </w:t>
      </w:r>
      <w:r w:rsidR="00524F19" w:rsidRPr="00332D83">
        <w:rPr>
          <w:rFonts w:ascii="Times New Roman" w:hAnsi="Times New Roman" w:cs="Times New Roman"/>
          <w:i/>
          <w:sz w:val="24"/>
          <w:szCs w:val="24"/>
        </w:rPr>
        <w:t>Do ouro imóvel ao dólar flexível</w:t>
      </w:r>
      <w:r w:rsidR="00524F19" w:rsidRPr="00332D83">
        <w:rPr>
          <w:rFonts w:ascii="Times New Roman" w:hAnsi="Times New Roman" w:cs="Times New Roman"/>
          <w:sz w:val="24"/>
          <w:szCs w:val="24"/>
        </w:rPr>
        <w:t xml:space="preserve">. </w:t>
      </w:r>
      <w:r w:rsidR="004D48FC" w:rsidRPr="00332D83">
        <w:rPr>
          <w:rFonts w:ascii="Times New Roman" w:hAnsi="Times New Roman" w:cs="Times New Roman"/>
          <w:sz w:val="24"/>
          <w:szCs w:val="24"/>
        </w:rPr>
        <w:t>Economia e Sociedade, Campinas,</w:t>
      </w:r>
      <w:r w:rsidR="00524F19" w:rsidRPr="00332D83">
        <w:rPr>
          <w:rFonts w:ascii="Times New Roman" w:hAnsi="Times New Roman" w:cs="Times New Roman"/>
          <w:sz w:val="24"/>
          <w:szCs w:val="24"/>
        </w:rPr>
        <w:t xml:space="preserve"> jul./dez</w:t>
      </w:r>
      <w:r w:rsidR="0000172C" w:rsidRPr="00332D83">
        <w:rPr>
          <w:rFonts w:ascii="Times New Roman" w:hAnsi="Times New Roman" w:cs="Times New Roman"/>
          <w:sz w:val="24"/>
          <w:szCs w:val="24"/>
        </w:rPr>
        <w:t>.</w:t>
      </w:r>
    </w:p>
    <w:p w:rsidR="00921094" w:rsidRPr="00332D83" w:rsidRDefault="006515CC" w:rsidP="00F212C6">
      <w:pPr>
        <w:spacing w:line="240" w:lineRule="auto"/>
        <w:jc w:val="both"/>
        <w:rPr>
          <w:rFonts w:ascii="Times New Roman" w:hAnsi="Times New Roman" w:cs="Times New Roman"/>
          <w:sz w:val="24"/>
          <w:szCs w:val="24"/>
          <w:lang w:val="en-US"/>
        </w:rPr>
      </w:pPr>
      <w:r w:rsidRPr="00332D83">
        <w:rPr>
          <w:rFonts w:ascii="Times New Roman" w:hAnsi="Times New Roman" w:cs="Times New Roman"/>
          <w:sz w:val="24"/>
          <w:szCs w:val="24"/>
          <w:lang w:val="en-US"/>
        </w:rPr>
        <w:t>STEIL</w:t>
      </w:r>
      <w:r w:rsidR="00921094" w:rsidRPr="00332D83">
        <w:rPr>
          <w:rFonts w:ascii="Times New Roman" w:hAnsi="Times New Roman" w:cs="Times New Roman"/>
          <w:sz w:val="24"/>
          <w:szCs w:val="24"/>
          <w:lang w:val="en-US"/>
        </w:rPr>
        <w:t>, B. </w:t>
      </w:r>
      <w:r w:rsidR="001C78D3" w:rsidRPr="00332D83">
        <w:rPr>
          <w:rFonts w:ascii="Times New Roman" w:hAnsi="Times New Roman" w:cs="Times New Roman"/>
          <w:sz w:val="24"/>
          <w:szCs w:val="24"/>
          <w:lang w:val="en-US"/>
        </w:rPr>
        <w:t xml:space="preserve"> (2013)</w:t>
      </w:r>
      <w:r w:rsidR="00214507" w:rsidRPr="00332D83">
        <w:rPr>
          <w:rFonts w:ascii="Times New Roman" w:hAnsi="Times New Roman" w:cs="Times New Roman"/>
          <w:sz w:val="24"/>
          <w:szCs w:val="24"/>
          <w:lang w:val="en-US"/>
        </w:rPr>
        <w:t xml:space="preserve">. </w:t>
      </w:r>
      <w:r w:rsidR="00921094" w:rsidRPr="00332D83">
        <w:rPr>
          <w:rFonts w:ascii="Times New Roman" w:hAnsi="Times New Roman" w:cs="Times New Roman"/>
          <w:sz w:val="24"/>
          <w:szCs w:val="24"/>
          <w:lang w:val="en-US"/>
        </w:rPr>
        <w:t>The battle of Bretton Woods: John Maynard Keynes, Harry Dexter White, and the making of a new world order. Princeton: Princeton University Press, 2013</w:t>
      </w:r>
    </w:p>
    <w:p w:rsidR="000C5EB4" w:rsidRDefault="00865257" w:rsidP="00F212C6">
      <w:pPr>
        <w:spacing w:line="240" w:lineRule="auto"/>
        <w:jc w:val="both"/>
        <w:rPr>
          <w:rFonts w:ascii="Times New Roman" w:hAnsi="Times New Roman" w:cs="Times New Roman"/>
          <w:sz w:val="24"/>
          <w:szCs w:val="24"/>
          <w:lang w:val="en-US"/>
        </w:rPr>
      </w:pPr>
      <w:r w:rsidRPr="00332D83">
        <w:rPr>
          <w:rFonts w:ascii="Times New Roman" w:hAnsi="Times New Roman" w:cs="Times New Roman"/>
          <w:sz w:val="24"/>
          <w:szCs w:val="24"/>
          <w:lang w:val="en-US"/>
        </w:rPr>
        <w:t>STRANGE</w:t>
      </w:r>
      <w:r w:rsidR="000C5EB4" w:rsidRPr="00332D83">
        <w:rPr>
          <w:rFonts w:ascii="Times New Roman" w:hAnsi="Times New Roman" w:cs="Times New Roman"/>
          <w:sz w:val="24"/>
          <w:szCs w:val="24"/>
          <w:lang w:val="en-US"/>
        </w:rPr>
        <w:t>, S. (1987) ‘The Persistent Myth of Lost Hegemony’, International Organization 41(4): 551–74.</w:t>
      </w:r>
    </w:p>
    <w:p w:rsidR="00A207B4" w:rsidRPr="00332D83" w:rsidRDefault="00A207B4" w:rsidP="00F212C6">
      <w:pPr>
        <w:spacing w:line="240" w:lineRule="auto"/>
        <w:jc w:val="both"/>
        <w:rPr>
          <w:rFonts w:ascii="Times New Roman" w:hAnsi="Times New Roman" w:cs="Times New Roman"/>
          <w:sz w:val="24"/>
          <w:szCs w:val="24"/>
          <w:lang w:val="en-US"/>
        </w:rPr>
      </w:pPr>
      <w:r w:rsidRPr="00A207B4">
        <w:rPr>
          <w:rFonts w:ascii="Times New Roman" w:hAnsi="Times New Roman" w:cs="Times New Roman"/>
          <w:sz w:val="24"/>
          <w:szCs w:val="24"/>
          <w:lang w:val="en-US"/>
        </w:rPr>
        <w:t xml:space="preserve">STRANGE, S. (1976). International Monetary Relations.  </w:t>
      </w:r>
      <w:proofErr w:type="spellStart"/>
      <w:r w:rsidRPr="00A207B4">
        <w:rPr>
          <w:rFonts w:ascii="Times New Roman" w:hAnsi="Times New Roman" w:cs="Times New Roman"/>
          <w:sz w:val="24"/>
          <w:szCs w:val="24"/>
          <w:lang w:val="en-US"/>
        </w:rPr>
        <w:t>Schonfield</w:t>
      </w:r>
      <w:proofErr w:type="spellEnd"/>
      <w:r w:rsidRPr="00A207B4">
        <w:rPr>
          <w:rFonts w:ascii="Times New Roman" w:hAnsi="Times New Roman" w:cs="Times New Roman"/>
          <w:sz w:val="24"/>
          <w:szCs w:val="24"/>
          <w:lang w:val="en-US"/>
        </w:rPr>
        <w:t>. A. (</w:t>
      </w:r>
      <w:proofErr w:type="spellStart"/>
      <w:r w:rsidRPr="00A207B4">
        <w:rPr>
          <w:rFonts w:ascii="Times New Roman" w:hAnsi="Times New Roman" w:cs="Times New Roman"/>
          <w:sz w:val="24"/>
          <w:szCs w:val="24"/>
          <w:lang w:val="en-US"/>
        </w:rPr>
        <w:t>ed</w:t>
      </w:r>
      <w:proofErr w:type="spellEnd"/>
      <w:r w:rsidRPr="00A207B4">
        <w:rPr>
          <w:rFonts w:ascii="Times New Roman" w:hAnsi="Times New Roman" w:cs="Times New Roman"/>
          <w:sz w:val="24"/>
          <w:szCs w:val="24"/>
          <w:lang w:val="en-US"/>
        </w:rPr>
        <w:t>).  International Monetary Relations of the Western World (1959-71). Oxford University Press.</w:t>
      </w:r>
    </w:p>
    <w:p w:rsidR="00865257" w:rsidRPr="00031560" w:rsidRDefault="00215211" w:rsidP="00865257">
      <w:pPr>
        <w:shd w:val="clear" w:color="auto" w:fill="FFFFFF"/>
        <w:spacing w:after="0" w:line="240" w:lineRule="auto"/>
        <w:ind w:right="-1"/>
        <w:rPr>
          <w:lang w:val="en-US"/>
        </w:rPr>
      </w:pPr>
      <w:r w:rsidRPr="00332D83">
        <w:rPr>
          <w:rFonts w:ascii="Times New Roman" w:hAnsi="Times New Roman" w:cs="Times New Roman"/>
          <w:sz w:val="24"/>
          <w:szCs w:val="24"/>
          <w:lang w:val="en-US"/>
        </w:rPr>
        <w:t xml:space="preserve">SWIFT (2015). Worldwide Currency Usage and Trends.  </w:t>
      </w:r>
      <w:hyperlink r:id="rId16" w:history="1">
        <w:r w:rsidRPr="00031560">
          <w:rPr>
            <w:rStyle w:val="Hyperlink"/>
            <w:rFonts w:ascii="Times New Roman" w:hAnsi="Times New Roman" w:cs="Times New Roman"/>
            <w:sz w:val="24"/>
            <w:szCs w:val="24"/>
            <w:shd w:val="clear" w:color="auto" w:fill="FFFFFF"/>
            <w:lang w:val="en-US"/>
          </w:rPr>
          <w:t>https://www.swift.com/node/19186</w:t>
        </w:r>
      </w:hyperlink>
      <w:r w:rsidR="00865257" w:rsidRPr="00031560">
        <w:rPr>
          <w:lang w:val="en-US"/>
        </w:rPr>
        <w:t xml:space="preserve"> </w:t>
      </w:r>
    </w:p>
    <w:p w:rsidR="00865257" w:rsidRPr="00031560" w:rsidRDefault="00865257" w:rsidP="00865257">
      <w:pPr>
        <w:shd w:val="clear" w:color="auto" w:fill="FFFFFF"/>
        <w:spacing w:after="0" w:line="240" w:lineRule="auto"/>
        <w:ind w:right="-1"/>
        <w:rPr>
          <w:rFonts w:ascii="Times New Roman" w:hAnsi="Times New Roman" w:cs="Times New Roman"/>
          <w:sz w:val="24"/>
          <w:szCs w:val="24"/>
          <w:lang w:val="en-US"/>
        </w:rPr>
      </w:pPr>
    </w:p>
    <w:p w:rsidR="0010455B" w:rsidRPr="00332D83" w:rsidRDefault="00865257" w:rsidP="00F212C6">
      <w:pPr>
        <w:spacing w:line="240" w:lineRule="auto"/>
        <w:jc w:val="both"/>
        <w:rPr>
          <w:rFonts w:ascii="Times New Roman" w:hAnsi="Times New Roman" w:cs="Times New Roman"/>
          <w:sz w:val="24"/>
          <w:szCs w:val="24"/>
        </w:rPr>
      </w:pPr>
      <w:r w:rsidRPr="00332D83">
        <w:rPr>
          <w:rFonts w:ascii="Times New Roman" w:hAnsi="Times New Roman" w:cs="Times New Roman"/>
          <w:sz w:val="24"/>
          <w:szCs w:val="24"/>
        </w:rPr>
        <w:t>TAVARES</w:t>
      </w:r>
      <w:r w:rsidR="0010455B" w:rsidRPr="00332D83">
        <w:rPr>
          <w:rFonts w:ascii="Times New Roman" w:hAnsi="Times New Roman" w:cs="Times New Roman"/>
          <w:sz w:val="24"/>
          <w:szCs w:val="24"/>
        </w:rPr>
        <w:t xml:space="preserve">, M.C. </w:t>
      </w:r>
      <w:r w:rsidR="00DB637B" w:rsidRPr="00332D83">
        <w:rPr>
          <w:rFonts w:ascii="Times New Roman" w:hAnsi="Times New Roman" w:cs="Times New Roman"/>
          <w:sz w:val="24"/>
          <w:szCs w:val="24"/>
        </w:rPr>
        <w:t xml:space="preserve">(1985) </w:t>
      </w:r>
      <w:r w:rsidR="0010455B" w:rsidRPr="00332D83">
        <w:rPr>
          <w:rFonts w:ascii="Times New Roman" w:hAnsi="Times New Roman" w:cs="Times New Roman"/>
          <w:sz w:val="24"/>
          <w:szCs w:val="24"/>
        </w:rPr>
        <w:t>A retomada da hegemonia norte-americana. Revista de Economia</w:t>
      </w:r>
      <w:r>
        <w:rPr>
          <w:rFonts w:ascii="Times New Roman" w:hAnsi="Times New Roman" w:cs="Times New Roman"/>
          <w:sz w:val="24"/>
          <w:szCs w:val="24"/>
        </w:rPr>
        <w:t xml:space="preserve"> </w:t>
      </w:r>
      <w:r w:rsidR="0010455B" w:rsidRPr="00332D83">
        <w:rPr>
          <w:rFonts w:ascii="Times New Roman" w:hAnsi="Times New Roman" w:cs="Times New Roman"/>
          <w:sz w:val="24"/>
          <w:szCs w:val="24"/>
        </w:rPr>
        <w:t>Política, Vol.5, no2, abril-junho.</w:t>
      </w:r>
    </w:p>
    <w:p w:rsidR="00B92DDA" w:rsidRPr="00332D83" w:rsidRDefault="00865257" w:rsidP="00B92DDA">
      <w:pPr>
        <w:pStyle w:val="Corpodetexto2"/>
        <w:spacing w:line="240" w:lineRule="auto"/>
        <w:rPr>
          <w:rFonts w:ascii="Times New Roman" w:hAnsi="Times New Roman"/>
          <w:sz w:val="24"/>
          <w:szCs w:val="24"/>
        </w:rPr>
      </w:pPr>
      <w:r w:rsidRPr="00332D83">
        <w:rPr>
          <w:rFonts w:ascii="Times New Roman" w:hAnsi="Times New Roman"/>
          <w:sz w:val="24"/>
          <w:szCs w:val="24"/>
        </w:rPr>
        <w:t>TORRES</w:t>
      </w:r>
      <w:r w:rsidR="00917FB7" w:rsidRPr="00332D83">
        <w:rPr>
          <w:rFonts w:ascii="Times New Roman" w:hAnsi="Times New Roman"/>
          <w:sz w:val="24"/>
          <w:szCs w:val="24"/>
        </w:rPr>
        <w:t>, E</w:t>
      </w:r>
      <w:r w:rsidR="00524F19" w:rsidRPr="00332D83">
        <w:rPr>
          <w:rFonts w:ascii="Times New Roman" w:hAnsi="Times New Roman"/>
          <w:sz w:val="24"/>
          <w:szCs w:val="24"/>
        </w:rPr>
        <w:t>. (2014). “A Crise do Sistema Financeiro Globalizado Contemporâneo”</w:t>
      </w:r>
      <w:r w:rsidR="00917FB7" w:rsidRPr="00332D83">
        <w:rPr>
          <w:rFonts w:ascii="Times New Roman" w:hAnsi="Times New Roman"/>
          <w:sz w:val="24"/>
          <w:szCs w:val="24"/>
        </w:rPr>
        <w:t>.</w:t>
      </w:r>
      <w:r w:rsidR="00524F19" w:rsidRPr="00332D83">
        <w:rPr>
          <w:rFonts w:ascii="Times New Roman" w:hAnsi="Times New Roman"/>
          <w:sz w:val="24"/>
          <w:szCs w:val="24"/>
        </w:rPr>
        <w:t xml:space="preserve"> Revista de Economia Política, vol. 34, nº 3 (136), pp. 433-450, julho-setembro</w:t>
      </w:r>
      <w:r w:rsidR="0000172C" w:rsidRPr="00332D83">
        <w:rPr>
          <w:rFonts w:ascii="Times New Roman" w:hAnsi="Times New Roman"/>
          <w:sz w:val="24"/>
          <w:szCs w:val="24"/>
        </w:rPr>
        <w:t>.</w:t>
      </w:r>
      <w:r w:rsidR="00B92DDA" w:rsidRPr="00332D83">
        <w:rPr>
          <w:rFonts w:ascii="Times New Roman" w:hAnsi="Times New Roman"/>
          <w:sz w:val="24"/>
          <w:szCs w:val="24"/>
        </w:rPr>
        <w:t xml:space="preserve"> </w:t>
      </w:r>
    </w:p>
    <w:p w:rsidR="00B92DDA" w:rsidRPr="00332D83" w:rsidRDefault="00B92DDA" w:rsidP="00B92DDA">
      <w:pPr>
        <w:pStyle w:val="Corpodetexto2"/>
        <w:spacing w:line="240" w:lineRule="auto"/>
        <w:rPr>
          <w:rFonts w:ascii="Times New Roman" w:hAnsi="Times New Roman"/>
          <w:sz w:val="24"/>
          <w:szCs w:val="24"/>
        </w:rPr>
      </w:pPr>
    </w:p>
    <w:p w:rsidR="008A7453" w:rsidRPr="00332D83" w:rsidRDefault="00865257" w:rsidP="00B92DDA">
      <w:pPr>
        <w:pStyle w:val="Corpodetexto2"/>
        <w:spacing w:line="240" w:lineRule="auto"/>
        <w:rPr>
          <w:rFonts w:ascii="Times New Roman" w:eastAsiaTheme="minorHAnsi" w:hAnsi="Times New Roman"/>
          <w:color w:val="000000"/>
          <w:sz w:val="24"/>
          <w:szCs w:val="24"/>
          <w:lang w:val="en-US" w:eastAsia="en-US"/>
        </w:rPr>
      </w:pPr>
      <w:r w:rsidRPr="00415AC4">
        <w:rPr>
          <w:rFonts w:ascii="Times New Roman" w:hAnsi="Times New Roman"/>
          <w:sz w:val="24"/>
          <w:szCs w:val="24"/>
        </w:rPr>
        <w:t xml:space="preserve">U.S. DEPARTMENT OF TREASURY. </w:t>
      </w:r>
      <w:r w:rsidR="00917FB7" w:rsidRPr="00332D83">
        <w:rPr>
          <w:rFonts w:ascii="Times New Roman" w:hAnsi="Times New Roman"/>
          <w:sz w:val="24"/>
          <w:szCs w:val="24"/>
          <w:lang w:val="en-US"/>
        </w:rPr>
        <w:t>(1969).</w:t>
      </w:r>
      <w:r w:rsidR="008A7453" w:rsidRPr="00332D83">
        <w:rPr>
          <w:rFonts w:ascii="Times New Roman" w:hAnsi="Times New Roman"/>
          <w:sz w:val="24"/>
          <w:szCs w:val="24"/>
          <w:lang w:val="en-US"/>
        </w:rPr>
        <w:t xml:space="preserve"> Basic Options in International Monetary</w:t>
      </w:r>
      <w:r>
        <w:rPr>
          <w:rFonts w:ascii="Times New Roman" w:hAnsi="Times New Roman"/>
          <w:sz w:val="24"/>
          <w:szCs w:val="24"/>
          <w:lang w:val="en-US"/>
        </w:rPr>
        <w:t xml:space="preserve"> </w:t>
      </w:r>
      <w:r w:rsidR="008A7453" w:rsidRPr="00332D83">
        <w:rPr>
          <w:rFonts w:ascii="Times New Roman" w:hAnsi="Times New Roman"/>
          <w:sz w:val="24"/>
          <w:szCs w:val="24"/>
          <w:lang w:val="en-US"/>
        </w:rPr>
        <w:t xml:space="preserve">Affairs, 23 de </w:t>
      </w:r>
      <w:proofErr w:type="spellStart"/>
      <w:r w:rsidR="008A7453" w:rsidRPr="00332D83">
        <w:rPr>
          <w:rFonts w:ascii="Times New Roman" w:hAnsi="Times New Roman"/>
          <w:sz w:val="24"/>
          <w:szCs w:val="24"/>
          <w:lang w:val="en-US"/>
        </w:rPr>
        <w:t>Junho</w:t>
      </w:r>
      <w:proofErr w:type="spellEnd"/>
      <w:r w:rsidR="008A7453" w:rsidRPr="00332D83">
        <w:rPr>
          <w:rFonts w:ascii="Times New Roman" w:hAnsi="Times New Roman"/>
          <w:sz w:val="24"/>
          <w:szCs w:val="24"/>
          <w:lang w:val="en-US"/>
        </w:rPr>
        <w:t xml:space="preserve"> </w:t>
      </w:r>
    </w:p>
    <w:p w:rsidR="008A7453" w:rsidRPr="00332D83" w:rsidRDefault="00C4075C" w:rsidP="00B92DDA">
      <w:pPr>
        <w:pStyle w:val="Corpodetexto2"/>
        <w:spacing w:line="240" w:lineRule="auto"/>
        <w:rPr>
          <w:rFonts w:ascii="Times New Roman" w:hAnsi="Times New Roman"/>
          <w:sz w:val="24"/>
          <w:szCs w:val="24"/>
          <w:lang w:val="en-US"/>
        </w:rPr>
      </w:pPr>
      <w:hyperlink r:id="rId17" w:history="1">
        <w:r w:rsidR="008A7453" w:rsidRPr="00332D83">
          <w:rPr>
            <w:rStyle w:val="Hyperlink"/>
            <w:rFonts w:ascii="Times New Roman" w:hAnsi="Times New Roman"/>
            <w:sz w:val="24"/>
            <w:szCs w:val="24"/>
            <w:lang w:val="en-US"/>
          </w:rPr>
          <w:t>https://history.state.gov/historicaldocuments/frus1969-76v03/d131</w:t>
        </w:r>
      </w:hyperlink>
    </w:p>
    <w:p w:rsidR="008A7453" w:rsidRPr="00332D83" w:rsidRDefault="008A7453" w:rsidP="00B92DDA">
      <w:pPr>
        <w:pStyle w:val="Corpodetexto2"/>
        <w:spacing w:line="240" w:lineRule="auto"/>
        <w:rPr>
          <w:rFonts w:ascii="Times New Roman" w:hAnsi="Times New Roman"/>
          <w:sz w:val="24"/>
          <w:szCs w:val="24"/>
          <w:lang w:val="en-US"/>
        </w:rPr>
      </w:pPr>
    </w:p>
    <w:p w:rsidR="00B92DDA" w:rsidRPr="00332D83" w:rsidRDefault="00215211" w:rsidP="00B92DDA">
      <w:pPr>
        <w:pStyle w:val="Corpodetexto2"/>
        <w:spacing w:line="240" w:lineRule="auto"/>
        <w:rPr>
          <w:rFonts w:ascii="Times New Roman" w:hAnsi="Times New Roman"/>
          <w:sz w:val="24"/>
          <w:szCs w:val="24"/>
          <w:lang w:val="en-US"/>
        </w:rPr>
      </w:pPr>
      <w:r>
        <w:rPr>
          <w:rFonts w:ascii="Times New Roman" w:hAnsi="Times New Roman"/>
          <w:sz w:val="24"/>
          <w:szCs w:val="24"/>
          <w:lang w:val="en-US"/>
        </w:rPr>
        <w:t>VOLCKER, P. e</w:t>
      </w:r>
      <w:r w:rsidRPr="00332D83">
        <w:rPr>
          <w:rFonts w:ascii="Times New Roman" w:hAnsi="Times New Roman"/>
          <w:sz w:val="24"/>
          <w:szCs w:val="24"/>
          <w:lang w:val="en-US"/>
        </w:rPr>
        <w:t xml:space="preserve"> GYOHTEN, T. </w:t>
      </w:r>
      <w:r w:rsidR="00917FB7" w:rsidRPr="00332D83">
        <w:rPr>
          <w:rFonts w:ascii="Times New Roman" w:hAnsi="Times New Roman"/>
          <w:sz w:val="24"/>
          <w:szCs w:val="24"/>
          <w:lang w:val="en-US"/>
        </w:rPr>
        <w:t>(1992).</w:t>
      </w:r>
      <w:r w:rsidR="00B92DDA" w:rsidRPr="00332D83">
        <w:rPr>
          <w:rFonts w:ascii="Times New Roman" w:hAnsi="Times New Roman"/>
          <w:sz w:val="24"/>
          <w:szCs w:val="24"/>
          <w:lang w:val="en-US"/>
        </w:rPr>
        <w:t xml:space="preserve"> Changing Fortunes: The World’s Money and the Threat to American </w:t>
      </w:r>
      <w:r w:rsidR="00C147E9" w:rsidRPr="00332D83">
        <w:rPr>
          <w:rFonts w:ascii="Times New Roman" w:hAnsi="Times New Roman"/>
          <w:sz w:val="24"/>
          <w:szCs w:val="24"/>
          <w:lang w:val="en-US"/>
        </w:rPr>
        <w:t xml:space="preserve">Leadership. </w:t>
      </w:r>
      <w:r w:rsidR="00B92DDA" w:rsidRPr="00332D83">
        <w:rPr>
          <w:rFonts w:ascii="Times New Roman" w:hAnsi="Times New Roman"/>
          <w:sz w:val="24"/>
          <w:szCs w:val="24"/>
          <w:lang w:val="en-US"/>
        </w:rPr>
        <w:t>New York: Times Books</w:t>
      </w:r>
    </w:p>
    <w:p w:rsidR="00B92DDA" w:rsidRPr="00332D83" w:rsidRDefault="00B92DDA" w:rsidP="00F212C6">
      <w:pPr>
        <w:pStyle w:val="Corpodetexto2"/>
        <w:spacing w:line="240" w:lineRule="auto"/>
        <w:rPr>
          <w:rFonts w:ascii="Times New Roman" w:hAnsi="Times New Roman"/>
          <w:sz w:val="24"/>
          <w:szCs w:val="24"/>
          <w:lang w:val="en-US"/>
        </w:rPr>
      </w:pPr>
    </w:p>
    <w:p w:rsidR="005506BF" w:rsidRPr="00332D83" w:rsidRDefault="005506BF" w:rsidP="00F212C6">
      <w:pPr>
        <w:spacing w:line="240" w:lineRule="auto"/>
        <w:rPr>
          <w:rFonts w:ascii="Times New Roman" w:hAnsi="Times New Roman" w:cs="Times New Roman"/>
          <w:sz w:val="24"/>
          <w:szCs w:val="24"/>
          <w:lang w:val="en-US"/>
        </w:rPr>
      </w:pPr>
      <w:r w:rsidRPr="00332D83">
        <w:rPr>
          <w:rFonts w:ascii="Times New Roman" w:hAnsi="Times New Roman" w:cs="Times New Roman"/>
          <w:sz w:val="24"/>
          <w:szCs w:val="24"/>
          <w:lang w:val="en-US"/>
        </w:rPr>
        <w:t>W</w:t>
      </w:r>
      <w:r w:rsidR="000F3033" w:rsidRPr="00332D83">
        <w:rPr>
          <w:rFonts w:ascii="Times New Roman" w:hAnsi="Times New Roman" w:cs="Times New Roman"/>
          <w:sz w:val="24"/>
          <w:szCs w:val="24"/>
          <w:lang w:val="en-US"/>
        </w:rPr>
        <w:t>HITLEY</w:t>
      </w:r>
      <w:r w:rsidRPr="00332D83">
        <w:rPr>
          <w:rFonts w:ascii="Times New Roman" w:hAnsi="Times New Roman" w:cs="Times New Roman"/>
          <w:sz w:val="24"/>
          <w:szCs w:val="24"/>
          <w:lang w:val="en-US"/>
        </w:rPr>
        <w:t xml:space="preserve">, A. (2013). The Origins and use of Currency Power. </w:t>
      </w:r>
      <w:proofErr w:type="spellStart"/>
      <w:r w:rsidRPr="00332D83">
        <w:rPr>
          <w:rFonts w:ascii="Times New Roman" w:hAnsi="Times New Roman" w:cs="Times New Roman"/>
          <w:sz w:val="24"/>
          <w:szCs w:val="24"/>
          <w:lang w:val="en-US"/>
        </w:rPr>
        <w:t>Adelph</w:t>
      </w:r>
      <w:r w:rsidR="00A20EA0" w:rsidRPr="00332D83">
        <w:rPr>
          <w:rFonts w:ascii="Times New Roman" w:hAnsi="Times New Roman" w:cs="Times New Roman"/>
          <w:sz w:val="24"/>
          <w:szCs w:val="24"/>
          <w:lang w:val="en-US"/>
        </w:rPr>
        <w:t>y</w:t>
      </w:r>
      <w:proofErr w:type="spellEnd"/>
      <w:r w:rsidRPr="00332D83">
        <w:rPr>
          <w:rFonts w:ascii="Times New Roman" w:hAnsi="Times New Roman" w:cs="Times New Roman"/>
          <w:sz w:val="24"/>
          <w:szCs w:val="24"/>
          <w:lang w:val="en-US"/>
        </w:rPr>
        <w:t xml:space="preserve"> Series, 53:439. 17-44</w:t>
      </w:r>
      <w:r w:rsidR="0000172C" w:rsidRPr="00332D83">
        <w:rPr>
          <w:rFonts w:ascii="Times New Roman" w:hAnsi="Times New Roman" w:cs="Times New Roman"/>
          <w:sz w:val="24"/>
          <w:szCs w:val="24"/>
          <w:lang w:val="en-US"/>
        </w:rPr>
        <w:t>.</w:t>
      </w:r>
    </w:p>
    <w:p w:rsidR="006028F3" w:rsidRPr="00332D83" w:rsidRDefault="00215211" w:rsidP="00917FB7">
      <w:pPr>
        <w:shd w:val="clear" w:color="auto" w:fill="FFFFFF"/>
        <w:spacing w:after="0" w:line="240" w:lineRule="auto"/>
        <w:jc w:val="both"/>
        <w:rPr>
          <w:rFonts w:ascii="Times New Roman" w:hAnsi="Times New Roman" w:cs="Times New Roman"/>
          <w:sz w:val="24"/>
          <w:szCs w:val="24"/>
          <w:lang w:val="en-US"/>
        </w:rPr>
      </w:pPr>
      <w:r w:rsidRPr="00332D83">
        <w:rPr>
          <w:rFonts w:ascii="Times New Roman" w:hAnsi="Times New Roman" w:cs="Times New Roman"/>
          <w:sz w:val="24"/>
          <w:szCs w:val="24"/>
          <w:lang w:val="en-US"/>
        </w:rPr>
        <w:t>WOODS</w:t>
      </w:r>
      <w:r w:rsidR="006028F3" w:rsidRPr="00332D83">
        <w:rPr>
          <w:rFonts w:ascii="Times New Roman" w:hAnsi="Times New Roman" w:cs="Times New Roman"/>
          <w:sz w:val="24"/>
          <w:szCs w:val="24"/>
          <w:lang w:val="en-US"/>
        </w:rPr>
        <w:t>, R. (</w:t>
      </w:r>
      <w:r w:rsidR="000668AE" w:rsidRPr="00332D83">
        <w:rPr>
          <w:rFonts w:ascii="Times New Roman" w:hAnsi="Times New Roman" w:cs="Times New Roman"/>
          <w:sz w:val="24"/>
          <w:szCs w:val="24"/>
          <w:lang w:val="en-US"/>
        </w:rPr>
        <w:t>1990</w:t>
      </w:r>
      <w:r w:rsidR="006028F3" w:rsidRPr="00332D83">
        <w:rPr>
          <w:rFonts w:ascii="Times New Roman" w:hAnsi="Times New Roman" w:cs="Times New Roman"/>
          <w:sz w:val="24"/>
          <w:szCs w:val="24"/>
          <w:lang w:val="en-US"/>
        </w:rPr>
        <w:t>). A Changing of the Guard:</w:t>
      </w:r>
      <w:r w:rsidR="0000172C" w:rsidRPr="00332D83">
        <w:rPr>
          <w:rFonts w:ascii="Times New Roman" w:hAnsi="Times New Roman" w:cs="Times New Roman"/>
          <w:sz w:val="24"/>
          <w:szCs w:val="24"/>
          <w:lang w:val="en-US"/>
        </w:rPr>
        <w:t xml:space="preserve"> Anglo-A</w:t>
      </w:r>
      <w:r w:rsidR="006028F3" w:rsidRPr="00332D83">
        <w:rPr>
          <w:rFonts w:ascii="Times New Roman" w:hAnsi="Times New Roman" w:cs="Times New Roman"/>
          <w:sz w:val="24"/>
          <w:szCs w:val="24"/>
          <w:lang w:val="en-US"/>
        </w:rPr>
        <w:t xml:space="preserve">merican Relations, 1941-1946. </w:t>
      </w:r>
      <w:r w:rsidR="00917FB7" w:rsidRPr="00332D83">
        <w:rPr>
          <w:rFonts w:ascii="Times New Roman" w:hAnsi="Times New Roman" w:cs="Times New Roman"/>
          <w:sz w:val="24"/>
          <w:szCs w:val="24"/>
          <w:lang w:val="en-US"/>
        </w:rPr>
        <w:t>U</w:t>
      </w:r>
      <w:r w:rsidR="006028F3" w:rsidRPr="00332D83">
        <w:rPr>
          <w:rFonts w:ascii="Times New Roman" w:hAnsi="Times New Roman" w:cs="Times New Roman"/>
          <w:sz w:val="24"/>
          <w:szCs w:val="24"/>
          <w:lang w:val="en-US"/>
        </w:rPr>
        <w:t>niv</w:t>
      </w:r>
      <w:r w:rsidR="0000172C" w:rsidRPr="00332D83">
        <w:rPr>
          <w:rFonts w:ascii="Times New Roman" w:hAnsi="Times New Roman" w:cs="Times New Roman"/>
          <w:sz w:val="24"/>
          <w:szCs w:val="24"/>
          <w:lang w:val="en-US"/>
        </w:rPr>
        <w:t>ersity</w:t>
      </w:r>
      <w:r w:rsidR="006028F3" w:rsidRPr="00332D83">
        <w:rPr>
          <w:rFonts w:ascii="Times New Roman" w:hAnsi="Times New Roman" w:cs="Times New Roman"/>
          <w:sz w:val="24"/>
          <w:szCs w:val="24"/>
          <w:lang w:val="en-US"/>
        </w:rPr>
        <w:t xml:space="preserve"> of North Carolina Press</w:t>
      </w:r>
      <w:r w:rsidR="0000172C" w:rsidRPr="00332D83">
        <w:rPr>
          <w:rFonts w:ascii="Times New Roman" w:hAnsi="Times New Roman" w:cs="Times New Roman"/>
          <w:sz w:val="24"/>
          <w:szCs w:val="24"/>
          <w:lang w:val="en-US"/>
        </w:rPr>
        <w:t>.</w:t>
      </w:r>
    </w:p>
    <w:p w:rsidR="00DB6CEA" w:rsidRPr="00332D83" w:rsidRDefault="00DB6CEA" w:rsidP="00F212C6">
      <w:pPr>
        <w:shd w:val="clear" w:color="auto" w:fill="FFFFFF"/>
        <w:spacing w:after="0" w:line="240" w:lineRule="auto"/>
        <w:ind w:right="358"/>
        <w:rPr>
          <w:rFonts w:ascii="Times New Roman" w:hAnsi="Times New Roman" w:cs="Times New Roman"/>
          <w:sz w:val="24"/>
          <w:szCs w:val="24"/>
          <w:lang w:val="en-US"/>
        </w:rPr>
      </w:pPr>
    </w:p>
    <w:p w:rsidR="00DB6CEA" w:rsidRPr="00DB6CEA" w:rsidRDefault="00DB6CEA" w:rsidP="00F212C6">
      <w:pPr>
        <w:shd w:val="clear" w:color="auto" w:fill="FFFFFF"/>
        <w:spacing w:after="0" w:line="240" w:lineRule="auto"/>
        <w:ind w:right="358"/>
        <w:rPr>
          <w:rFonts w:cstheme="minorHAnsi"/>
          <w:sz w:val="24"/>
          <w:szCs w:val="24"/>
          <w:lang w:val="en-US"/>
        </w:rPr>
      </w:pPr>
    </w:p>
    <w:p w:rsidR="006028F3" w:rsidRPr="00DB6CEA" w:rsidRDefault="006028F3" w:rsidP="00F212C6">
      <w:pPr>
        <w:pBdr>
          <w:top w:val="single" w:sz="6" w:space="1" w:color="auto"/>
        </w:pBdr>
        <w:spacing w:after="0" w:line="240" w:lineRule="auto"/>
        <w:jc w:val="center"/>
        <w:rPr>
          <w:rFonts w:eastAsia="Times New Roman" w:cstheme="minorHAnsi"/>
          <w:vanish/>
          <w:sz w:val="24"/>
          <w:szCs w:val="24"/>
          <w:lang w:val="en-US" w:eastAsia="pt-BR"/>
        </w:rPr>
      </w:pPr>
      <w:r w:rsidRPr="00DB6CEA">
        <w:rPr>
          <w:rFonts w:eastAsia="Times New Roman" w:cstheme="minorHAnsi"/>
          <w:vanish/>
          <w:sz w:val="24"/>
          <w:szCs w:val="24"/>
          <w:lang w:val="en-US" w:eastAsia="pt-BR"/>
        </w:rPr>
        <w:t>Parte inferior do formulário</w:t>
      </w:r>
    </w:p>
    <w:p w:rsidR="004E6B41" w:rsidRPr="00DB6CEA" w:rsidRDefault="004E6B41" w:rsidP="00F212C6">
      <w:pPr>
        <w:spacing w:line="240" w:lineRule="auto"/>
        <w:rPr>
          <w:rFonts w:cstheme="minorHAnsi"/>
          <w:sz w:val="24"/>
          <w:szCs w:val="24"/>
          <w:lang w:val="en-US"/>
        </w:rPr>
      </w:pPr>
    </w:p>
    <w:p w:rsidR="00CB3FD9" w:rsidRPr="00F212C6" w:rsidRDefault="00CB3FD9" w:rsidP="00F212C6">
      <w:pPr>
        <w:pBdr>
          <w:top w:val="single" w:sz="6" w:space="1" w:color="auto"/>
        </w:pBdr>
        <w:spacing w:after="0" w:line="360" w:lineRule="auto"/>
        <w:jc w:val="center"/>
        <w:rPr>
          <w:rFonts w:eastAsia="Times New Roman" w:cstheme="minorHAnsi"/>
          <w:vanish/>
          <w:sz w:val="24"/>
          <w:szCs w:val="24"/>
          <w:lang w:eastAsia="pt-BR"/>
        </w:rPr>
      </w:pPr>
      <w:r w:rsidRPr="00F212C6">
        <w:rPr>
          <w:rFonts w:eastAsia="Times New Roman" w:cstheme="minorHAnsi"/>
          <w:vanish/>
          <w:sz w:val="24"/>
          <w:szCs w:val="24"/>
          <w:lang w:eastAsia="pt-BR"/>
        </w:rPr>
        <w:t>Parte inferior do formulário</w:t>
      </w:r>
    </w:p>
    <w:p w:rsidR="00A50682" w:rsidRPr="00F212C6" w:rsidRDefault="00A50682" w:rsidP="00F212C6">
      <w:pPr>
        <w:spacing w:line="360" w:lineRule="auto"/>
        <w:rPr>
          <w:rFonts w:cstheme="minorHAnsi"/>
          <w:sz w:val="24"/>
          <w:szCs w:val="24"/>
        </w:rPr>
      </w:pPr>
    </w:p>
    <w:sectPr w:rsidR="00A50682" w:rsidRPr="00F212C6" w:rsidSect="009F7955">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75C" w:rsidRDefault="00C4075C" w:rsidP="00705683">
      <w:pPr>
        <w:spacing w:after="0" w:line="240" w:lineRule="auto"/>
      </w:pPr>
      <w:r>
        <w:separator/>
      </w:r>
    </w:p>
  </w:endnote>
  <w:endnote w:type="continuationSeparator" w:id="0">
    <w:p w:rsidR="00C4075C" w:rsidRDefault="00C4075C" w:rsidP="00705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panose1 w:val="00000000000000000000"/>
    <w:charset w:val="00"/>
    <w:family w:val="roman"/>
    <w:notTrueType/>
    <w:pitch w:val="default"/>
  </w:font>
  <w:font w:name="MinionPro-Regular+20">
    <w:altName w:val="Times New Roman"/>
    <w:panose1 w:val="00000000000000000000"/>
    <w:charset w:val="00"/>
    <w:family w:val="roman"/>
    <w:notTrueType/>
    <w:pitch w:val="default"/>
  </w:font>
  <w:font w:name="MinionPro-Regular+fb">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05282"/>
      <w:docPartObj>
        <w:docPartGallery w:val="Page Numbers (Bottom of Page)"/>
        <w:docPartUnique/>
      </w:docPartObj>
    </w:sdtPr>
    <w:sdtEndPr/>
    <w:sdtContent>
      <w:p w:rsidR="00E533AE" w:rsidRDefault="0019720B">
        <w:pPr>
          <w:pStyle w:val="Rodap"/>
          <w:jc w:val="right"/>
        </w:pPr>
        <w:r>
          <w:fldChar w:fldCharType="begin"/>
        </w:r>
        <w:r>
          <w:instrText xml:space="preserve"> PAGE   \* MERGEFORMAT </w:instrText>
        </w:r>
        <w:r>
          <w:fldChar w:fldCharType="separate"/>
        </w:r>
        <w:r w:rsidR="00E95742">
          <w:rPr>
            <w:noProof/>
          </w:rPr>
          <w:t>16</w:t>
        </w:r>
        <w:r>
          <w:rPr>
            <w:noProof/>
          </w:rPr>
          <w:fldChar w:fldCharType="end"/>
        </w:r>
      </w:p>
    </w:sdtContent>
  </w:sdt>
  <w:p w:rsidR="00E533AE" w:rsidRDefault="00E533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75C" w:rsidRDefault="00C4075C" w:rsidP="00705683">
      <w:pPr>
        <w:spacing w:after="0" w:line="240" w:lineRule="auto"/>
      </w:pPr>
      <w:r>
        <w:separator/>
      </w:r>
    </w:p>
  </w:footnote>
  <w:footnote w:type="continuationSeparator" w:id="0">
    <w:p w:rsidR="00C4075C" w:rsidRDefault="00C4075C" w:rsidP="00705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4CF"/>
    <w:multiLevelType w:val="multilevel"/>
    <w:tmpl w:val="644A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15884"/>
    <w:multiLevelType w:val="multilevel"/>
    <w:tmpl w:val="3336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D6759"/>
    <w:multiLevelType w:val="multilevel"/>
    <w:tmpl w:val="32B2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57187"/>
    <w:multiLevelType w:val="multilevel"/>
    <w:tmpl w:val="25A8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1119C"/>
    <w:multiLevelType w:val="hybridMultilevel"/>
    <w:tmpl w:val="27FC69C2"/>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B80034"/>
    <w:multiLevelType w:val="hybridMultilevel"/>
    <w:tmpl w:val="187EE8FC"/>
    <w:lvl w:ilvl="0" w:tplc="B98A8290">
      <w:start w:val="1"/>
      <w:numFmt w:val="bullet"/>
      <w:lvlText w:val=""/>
      <w:lvlJc w:val="left"/>
      <w:pPr>
        <w:tabs>
          <w:tab w:val="num" w:pos="644"/>
        </w:tabs>
        <w:ind w:left="644" w:hanging="360"/>
      </w:pPr>
      <w:rPr>
        <w:rFonts w:ascii="Wingdings" w:hAnsi="Wingdings" w:hint="default"/>
      </w:rPr>
    </w:lvl>
    <w:lvl w:ilvl="1" w:tplc="5B843610" w:tentative="1">
      <w:start w:val="1"/>
      <w:numFmt w:val="bullet"/>
      <w:lvlText w:val=""/>
      <w:lvlJc w:val="left"/>
      <w:pPr>
        <w:tabs>
          <w:tab w:val="num" w:pos="1440"/>
        </w:tabs>
        <w:ind w:left="1440" w:hanging="360"/>
      </w:pPr>
      <w:rPr>
        <w:rFonts w:ascii="Wingdings" w:hAnsi="Wingdings" w:hint="default"/>
      </w:rPr>
    </w:lvl>
    <w:lvl w:ilvl="2" w:tplc="824C0C1C" w:tentative="1">
      <w:start w:val="1"/>
      <w:numFmt w:val="bullet"/>
      <w:lvlText w:val=""/>
      <w:lvlJc w:val="left"/>
      <w:pPr>
        <w:tabs>
          <w:tab w:val="num" w:pos="2160"/>
        </w:tabs>
        <w:ind w:left="2160" w:hanging="360"/>
      </w:pPr>
      <w:rPr>
        <w:rFonts w:ascii="Wingdings" w:hAnsi="Wingdings" w:hint="default"/>
      </w:rPr>
    </w:lvl>
    <w:lvl w:ilvl="3" w:tplc="CDAAAA9C" w:tentative="1">
      <w:start w:val="1"/>
      <w:numFmt w:val="bullet"/>
      <w:lvlText w:val=""/>
      <w:lvlJc w:val="left"/>
      <w:pPr>
        <w:tabs>
          <w:tab w:val="num" w:pos="2880"/>
        </w:tabs>
        <w:ind w:left="2880" w:hanging="360"/>
      </w:pPr>
      <w:rPr>
        <w:rFonts w:ascii="Wingdings" w:hAnsi="Wingdings" w:hint="default"/>
      </w:rPr>
    </w:lvl>
    <w:lvl w:ilvl="4" w:tplc="9F8E75A6" w:tentative="1">
      <w:start w:val="1"/>
      <w:numFmt w:val="bullet"/>
      <w:lvlText w:val=""/>
      <w:lvlJc w:val="left"/>
      <w:pPr>
        <w:tabs>
          <w:tab w:val="num" w:pos="3600"/>
        </w:tabs>
        <w:ind w:left="3600" w:hanging="360"/>
      </w:pPr>
      <w:rPr>
        <w:rFonts w:ascii="Wingdings" w:hAnsi="Wingdings" w:hint="default"/>
      </w:rPr>
    </w:lvl>
    <w:lvl w:ilvl="5" w:tplc="BFFA571A" w:tentative="1">
      <w:start w:val="1"/>
      <w:numFmt w:val="bullet"/>
      <w:lvlText w:val=""/>
      <w:lvlJc w:val="left"/>
      <w:pPr>
        <w:tabs>
          <w:tab w:val="num" w:pos="4320"/>
        </w:tabs>
        <w:ind w:left="4320" w:hanging="360"/>
      </w:pPr>
      <w:rPr>
        <w:rFonts w:ascii="Wingdings" w:hAnsi="Wingdings" w:hint="default"/>
      </w:rPr>
    </w:lvl>
    <w:lvl w:ilvl="6" w:tplc="19BC9158" w:tentative="1">
      <w:start w:val="1"/>
      <w:numFmt w:val="bullet"/>
      <w:lvlText w:val=""/>
      <w:lvlJc w:val="left"/>
      <w:pPr>
        <w:tabs>
          <w:tab w:val="num" w:pos="5040"/>
        </w:tabs>
        <w:ind w:left="5040" w:hanging="360"/>
      </w:pPr>
      <w:rPr>
        <w:rFonts w:ascii="Wingdings" w:hAnsi="Wingdings" w:hint="default"/>
      </w:rPr>
    </w:lvl>
    <w:lvl w:ilvl="7" w:tplc="597699C6" w:tentative="1">
      <w:start w:val="1"/>
      <w:numFmt w:val="bullet"/>
      <w:lvlText w:val=""/>
      <w:lvlJc w:val="left"/>
      <w:pPr>
        <w:tabs>
          <w:tab w:val="num" w:pos="5760"/>
        </w:tabs>
        <w:ind w:left="5760" w:hanging="360"/>
      </w:pPr>
      <w:rPr>
        <w:rFonts w:ascii="Wingdings" w:hAnsi="Wingdings" w:hint="default"/>
      </w:rPr>
    </w:lvl>
    <w:lvl w:ilvl="8" w:tplc="CC8ED7B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0F1C32"/>
    <w:multiLevelType w:val="hybridMultilevel"/>
    <w:tmpl w:val="D65043B8"/>
    <w:lvl w:ilvl="0" w:tplc="6F9661E0">
      <w:start w:val="1"/>
      <w:numFmt w:val="bullet"/>
      <w:lvlText w:val=""/>
      <w:lvlJc w:val="left"/>
      <w:pPr>
        <w:tabs>
          <w:tab w:val="num" w:pos="720"/>
        </w:tabs>
        <w:ind w:left="720" w:hanging="360"/>
      </w:pPr>
      <w:rPr>
        <w:rFonts w:ascii="Wingdings" w:hAnsi="Wingdings" w:hint="default"/>
      </w:rPr>
    </w:lvl>
    <w:lvl w:ilvl="1" w:tplc="6032FCD4" w:tentative="1">
      <w:start w:val="1"/>
      <w:numFmt w:val="bullet"/>
      <w:lvlText w:val=""/>
      <w:lvlJc w:val="left"/>
      <w:pPr>
        <w:tabs>
          <w:tab w:val="num" w:pos="1440"/>
        </w:tabs>
        <w:ind w:left="1440" w:hanging="360"/>
      </w:pPr>
      <w:rPr>
        <w:rFonts w:ascii="Wingdings" w:hAnsi="Wingdings" w:hint="default"/>
      </w:rPr>
    </w:lvl>
    <w:lvl w:ilvl="2" w:tplc="ECCE4266" w:tentative="1">
      <w:start w:val="1"/>
      <w:numFmt w:val="bullet"/>
      <w:lvlText w:val=""/>
      <w:lvlJc w:val="left"/>
      <w:pPr>
        <w:tabs>
          <w:tab w:val="num" w:pos="2160"/>
        </w:tabs>
        <w:ind w:left="2160" w:hanging="360"/>
      </w:pPr>
      <w:rPr>
        <w:rFonts w:ascii="Wingdings" w:hAnsi="Wingdings" w:hint="default"/>
      </w:rPr>
    </w:lvl>
    <w:lvl w:ilvl="3" w:tplc="9FF2B890" w:tentative="1">
      <w:start w:val="1"/>
      <w:numFmt w:val="bullet"/>
      <w:lvlText w:val=""/>
      <w:lvlJc w:val="left"/>
      <w:pPr>
        <w:tabs>
          <w:tab w:val="num" w:pos="2880"/>
        </w:tabs>
        <w:ind w:left="2880" w:hanging="360"/>
      </w:pPr>
      <w:rPr>
        <w:rFonts w:ascii="Wingdings" w:hAnsi="Wingdings" w:hint="default"/>
      </w:rPr>
    </w:lvl>
    <w:lvl w:ilvl="4" w:tplc="039A6D72" w:tentative="1">
      <w:start w:val="1"/>
      <w:numFmt w:val="bullet"/>
      <w:lvlText w:val=""/>
      <w:lvlJc w:val="left"/>
      <w:pPr>
        <w:tabs>
          <w:tab w:val="num" w:pos="3600"/>
        </w:tabs>
        <w:ind w:left="3600" w:hanging="360"/>
      </w:pPr>
      <w:rPr>
        <w:rFonts w:ascii="Wingdings" w:hAnsi="Wingdings" w:hint="default"/>
      </w:rPr>
    </w:lvl>
    <w:lvl w:ilvl="5" w:tplc="1A628760" w:tentative="1">
      <w:start w:val="1"/>
      <w:numFmt w:val="bullet"/>
      <w:lvlText w:val=""/>
      <w:lvlJc w:val="left"/>
      <w:pPr>
        <w:tabs>
          <w:tab w:val="num" w:pos="4320"/>
        </w:tabs>
        <w:ind w:left="4320" w:hanging="360"/>
      </w:pPr>
      <w:rPr>
        <w:rFonts w:ascii="Wingdings" w:hAnsi="Wingdings" w:hint="default"/>
      </w:rPr>
    </w:lvl>
    <w:lvl w:ilvl="6" w:tplc="0ECE72C2" w:tentative="1">
      <w:start w:val="1"/>
      <w:numFmt w:val="bullet"/>
      <w:lvlText w:val=""/>
      <w:lvlJc w:val="left"/>
      <w:pPr>
        <w:tabs>
          <w:tab w:val="num" w:pos="5040"/>
        </w:tabs>
        <w:ind w:left="5040" w:hanging="360"/>
      </w:pPr>
      <w:rPr>
        <w:rFonts w:ascii="Wingdings" w:hAnsi="Wingdings" w:hint="default"/>
      </w:rPr>
    </w:lvl>
    <w:lvl w:ilvl="7" w:tplc="07E88E76" w:tentative="1">
      <w:start w:val="1"/>
      <w:numFmt w:val="bullet"/>
      <w:lvlText w:val=""/>
      <w:lvlJc w:val="left"/>
      <w:pPr>
        <w:tabs>
          <w:tab w:val="num" w:pos="5760"/>
        </w:tabs>
        <w:ind w:left="5760" w:hanging="360"/>
      </w:pPr>
      <w:rPr>
        <w:rFonts w:ascii="Wingdings" w:hAnsi="Wingdings" w:hint="default"/>
      </w:rPr>
    </w:lvl>
    <w:lvl w:ilvl="8" w:tplc="D800075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6D5FA3"/>
    <w:multiLevelType w:val="multilevel"/>
    <w:tmpl w:val="91E4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5"/>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682"/>
    <w:rsid w:val="0000172C"/>
    <w:rsid w:val="000031C7"/>
    <w:rsid w:val="000040C9"/>
    <w:rsid w:val="0000781C"/>
    <w:rsid w:val="00017BA7"/>
    <w:rsid w:val="00022BA5"/>
    <w:rsid w:val="00026380"/>
    <w:rsid w:val="00026EB8"/>
    <w:rsid w:val="00031560"/>
    <w:rsid w:val="00031F13"/>
    <w:rsid w:val="00037685"/>
    <w:rsid w:val="00045B27"/>
    <w:rsid w:val="00051B12"/>
    <w:rsid w:val="0005289C"/>
    <w:rsid w:val="00055161"/>
    <w:rsid w:val="00055CB9"/>
    <w:rsid w:val="00056FDD"/>
    <w:rsid w:val="00063554"/>
    <w:rsid w:val="0006369D"/>
    <w:rsid w:val="00065023"/>
    <w:rsid w:val="000668AE"/>
    <w:rsid w:val="00071E55"/>
    <w:rsid w:val="000949C5"/>
    <w:rsid w:val="00095273"/>
    <w:rsid w:val="000A5980"/>
    <w:rsid w:val="000A6016"/>
    <w:rsid w:val="000B0405"/>
    <w:rsid w:val="000C406B"/>
    <w:rsid w:val="000C5EB4"/>
    <w:rsid w:val="000C6C34"/>
    <w:rsid w:val="000C7254"/>
    <w:rsid w:val="000C76CA"/>
    <w:rsid w:val="000D1AAF"/>
    <w:rsid w:val="000D5DDF"/>
    <w:rsid w:val="000E2B96"/>
    <w:rsid w:val="000E46E0"/>
    <w:rsid w:val="000F10C5"/>
    <w:rsid w:val="000F3033"/>
    <w:rsid w:val="000F5074"/>
    <w:rsid w:val="00102FE1"/>
    <w:rsid w:val="00103185"/>
    <w:rsid w:val="0010455B"/>
    <w:rsid w:val="00106B8D"/>
    <w:rsid w:val="00116C4E"/>
    <w:rsid w:val="00120AC9"/>
    <w:rsid w:val="00120C4F"/>
    <w:rsid w:val="00122D44"/>
    <w:rsid w:val="00125F3A"/>
    <w:rsid w:val="00135166"/>
    <w:rsid w:val="00155A33"/>
    <w:rsid w:val="00156C0C"/>
    <w:rsid w:val="00157388"/>
    <w:rsid w:val="00161C15"/>
    <w:rsid w:val="001663A7"/>
    <w:rsid w:val="001749D8"/>
    <w:rsid w:val="0017521B"/>
    <w:rsid w:val="00177BFE"/>
    <w:rsid w:val="0019720B"/>
    <w:rsid w:val="001A0E40"/>
    <w:rsid w:val="001A1AE5"/>
    <w:rsid w:val="001A334F"/>
    <w:rsid w:val="001A5DB7"/>
    <w:rsid w:val="001B6388"/>
    <w:rsid w:val="001B7A9C"/>
    <w:rsid w:val="001C5C5C"/>
    <w:rsid w:val="001C7600"/>
    <w:rsid w:val="001C78D3"/>
    <w:rsid w:val="001D23DC"/>
    <w:rsid w:val="001D37E9"/>
    <w:rsid w:val="001D3FDF"/>
    <w:rsid w:val="001E2139"/>
    <w:rsid w:val="001F0E99"/>
    <w:rsid w:val="001F1326"/>
    <w:rsid w:val="001F6154"/>
    <w:rsid w:val="001F6F50"/>
    <w:rsid w:val="00203F1A"/>
    <w:rsid w:val="002110EF"/>
    <w:rsid w:val="00214507"/>
    <w:rsid w:val="00215211"/>
    <w:rsid w:val="002169A0"/>
    <w:rsid w:val="00220712"/>
    <w:rsid w:val="00223656"/>
    <w:rsid w:val="002255D3"/>
    <w:rsid w:val="00231283"/>
    <w:rsid w:val="00231F38"/>
    <w:rsid w:val="002410F8"/>
    <w:rsid w:val="002414D2"/>
    <w:rsid w:val="002464B2"/>
    <w:rsid w:val="002472D0"/>
    <w:rsid w:val="00251457"/>
    <w:rsid w:val="00255DC6"/>
    <w:rsid w:val="002611ED"/>
    <w:rsid w:val="00261F8F"/>
    <w:rsid w:val="00263335"/>
    <w:rsid w:val="00274750"/>
    <w:rsid w:val="00275C8D"/>
    <w:rsid w:val="00275D3F"/>
    <w:rsid w:val="00276F21"/>
    <w:rsid w:val="00276F2B"/>
    <w:rsid w:val="0028449D"/>
    <w:rsid w:val="0029060B"/>
    <w:rsid w:val="002A268A"/>
    <w:rsid w:val="002A45A2"/>
    <w:rsid w:val="002A597B"/>
    <w:rsid w:val="002A6E58"/>
    <w:rsid w:val="002A72E9"/>
    <w:rsid w:val="002B1493"/>
    <w:rsid w:val="002B371E"/>
    <w:rsid w:val="002B7603"/>
    <w:rsid w:val="002B7E34"/>
    <w:rsid w:val="002C1387"/>
    <w:rsid w:val="002E1529"/>
    <w:rsid w:val="002E27A3"/>
    <w:rsid w:val="002E2E5A"/>
    <w:rsid w:val="002E545A"/>
    <w:rsid w:val="0030349A"/>
    <w:rsid w:val="003057FA"/>
    <w:rsid w:val="003100C8"/>
    <w:rsid w:val="00310A3C"/>
    <w:rsid w:val="00310F85"/>
    <w:rsid w:val="00320EA0"/>
    <w:rsid w:val="00322252"/>
    <w:rsid w:val="00325104"/>
    <w:rsid w:val="00331FC0"/>
    <w:rsid w:val="00332D83"/>
    <w:rsid w:val="0033387F"/>
    <w:rsid w:val="00333B15"/>
    <w:rsid w:val="00336C66"/>
    <w:rsid w:val="003370C3"/>
    <w:rsid w:val="003448DF"/>
    <w:rsid w:val="00344A32"/>
    <w:rsid w:val="00344A7D"/>
    <w:rsid w:val="003464F1"/>
    <w:rsid w:val="00354424"/>
    <w:rsid w:val="003556B9"/>
    <w:rsid w:val="00357742"/>
    <w:rsid w:val="00360BE8"/>
    <w:rsid w:val="00360F11"/>
    <w:rsid w:val="00361C3F"/>
    <w:rsid w:val="003629EA"/>
    <w:rsid w:val="00363DEB"/>
    <w:rsid w:val="003676FB"/>
    <w:rsid w:val="00373970"/>
    <w:rsid w:val="00373ACD"/>
    <w:rsid w:val="003763DA"/>
    <w:rsid w:val="0038335C"/>
    <w:rsid w:val="00383DDD"/>
    <w:rsid w:val="00387E4D"/>
    <w:rsid w:val="0039320A"/>
    <w:rsid w:val="00396089"/>
    <w:rsid w:val="003A2702"/>
    <w:rsid w:val="003A32BB"/>
    <w:rsid w:val="003A3A4C"/>
    <w:rsid w:val="003A54A7"/>
    <w:rsid w:val="003A7D02"/>
    <w:rsid w:val="003B2338"/>
    <w:rsid w:val="003B2B2B"/>
    <w:rsid w:val="003B6D07"/>
    <w:rsid w:val="003C46BD"/>
    <w:rsid w:val="003C77E0"/>
    <w:rsid w:val="003D455D"/>
    <w:rsid w:val="003E1CE5"/>
    <w:rsid w:val="003E26D9"/>
    <w:rsid w:val="003F25C1"/>
    <w:rsid w:val="003F426A"/>
    <w:rsid w:val="003F5573"/>
    <w:rsid w:val="004021EA"/>
    <w:rsid w:val="0040279E"/>
    <w:rsid w:val="00415AC4"/>
    <w:rsid w:val="004223C8"/>
    <w:rsid w:val="00422671"/>
    <w:rsid w:val="00430B37"/>
    <w:rsid w:val="00430D2C"/>
    <w:rsid w:val="00431E17"/>
    <w:rsid w:val="00436263"/>
    <w:rsid w:val="00436A69"/>
    <w:rsid w:val="0044453E"/>
    <w:rsid w:val="00450345"/>
    <w:rsid w:val="00456A68"/>
    <w:rsid w:val="00457866"/>
    <w:rsid w:val="00462718"/>
    <w:rsid w:val="00462F9C"/>
    <w:rsid w:val="00470EFA"/>
    <w:rsid w:val="004731D2"/>
    <w:rsid w:val="00481385"/>
    <w:rsid w:val="004816EC"/>
    <w:rsid w:val="00483306"/>
    <w:rsid w:val="004A3F95"/>
    <w:rsid w:val="004B1D7D"/>
    <w:rsid w:val="004B29C7"/>
    <w:rsid w:val="004B38FE"/>
    <w:rsid w:val="004B6FC7"/>
    <w:rsid w:val="004D0256"/>
    <w:rsid w:val="004D2101"/>
    <w:rsid w:val="004D296E"/>
    <w:rsid w:val="004D48FC"/>
    <w:rsid w:val="004E24BA"/>
    <w:rsid w:val="004E35B0"/>
    <w:rsid w:val="004E6B41"/>
    <w:rsid w:val="005014D1"/>
    <w:rsid w:val="00507C60"/>
    <w:rsid w:val="00517639"/>
    <w:rsid w:val="00522A0F"/>
    <w:rsid w:val="00524F19"/>
    <w:rsid w:val="00526B1A"/>
    <w:rsid w:val="005300AA"/>
    <w:rsid w:val="0053404B"/>
    <w:rsid w:val="00534F7C"/>
    <w:rsid w:val="00537336"/>
    <w:rsid w:val="0054372C"/>
    <w:rsid w:val="00544610"/>
    <w:rsid w:val="00546ECF"/>
    <w:rsid w:val="005506BF"/>
    <w:rsid w:val="0055273B"/>
    <w:rsid w:val="00554AD1"/>
    <w:rsid w:val="00557293"/>
    <w:rsid w:val="0056078C"/>
    <w:rsid w:val="005608F8"/>
    <w:rsid w:val="00570888"/>
    <w:rsid w:val="00572F31"/>
    <w:rsid w:val="00576CF1"/>
    <w:rsid w:val="0058024C"/>
    <w:rsid w:val="00583552"/>
    <w:rsid w:val="00587720"/>
    <w:rsid w:val="005A07B1"/>
    <w:rsid w:val="005A20D8"/>
    <w:rsid w:val="005B1FB0"/>
    <w:rsid w:val="005B6895"/>
    <w:rsid w:val="005B6D2D"/>
    <w:rsid w:val="005B7D85"/>
    <w:rsid w:val="005C15CD"/>
    <w:rsid w:val="005C2CE3"/>
    <w:rsid w:val="005C4ECA"/>
    <w:rsid w:val="005C4F09"/>
    <w:rsid w:val="005D0FFB"/>
    <w:rsid w:val="005D33D9"/>
    <w:rsid w:val="005D3EB2"/>
    <w:rsid w:val="005E0DEF"/>
    <w:rsid w:val="005E28F8"/>
    <w:rsid w:val="005E46C6"/>
    <w:rsid w:val="005E6D43"/>
    <w:rsid w:val="005F1371"/>
    <w:rsid w:val="005F2B5F"/>
    <w:rsid w:val="006022EE"/>
    <w:rsid w:val="006028F3"/>
    <w:rsid w:val="0060700D"/>
    <w:rsid w:val="00610681"/>
    <w:rsid w:val="00613191"/>
    <w:rsid w:val="00616732"/>
    <w:rsid w:val="00616DBF"/>
    <w:rsid w:val="00620920"/>
    <w:rsid w:val="00620CED"/>
    <w:rsid w:val="0062707E"/>
    <w:rsid w:val="0063025E"/>
    <w:rsid w:val="00631A3C"/>
    <w:rsid w:val="006348EF"/>
    <w:rsid w:val="00641451"/>
    <w:rsid w:val="006515CC"/>
    <w:rsid w:val="0065659B"/>
    <w:rsid w:val="0066463F"/>
    <w:rsid w:val="00665203"/>
    <w:rsid w:val="00667589"/>
    <w:rsid w:val="0067067A"/>
    <w:rsid w:val="006721C4"/>
    <w:rsid w:val="00675650"/>
    <w:rsid w:val="00683D1B"/>
    <w:rsid w:val="006912F9"/>
    <w:rsid w:val="00692EFF"/>
    <w:rsid w:val="00696AF8"/>
    <w:rsid w:val="006A3CE7"/>
    <w:rsid w:val="006B4FCA"/>
    <w:rsid w:val="006C2B0F"/>
    <w:rsid w:val="006C7128"/>
    <w:rsid w:val="006C7957"/>
    <w:rsid w:val="006D3578"/>
    <w:rsid w:val="006D454E"/>
    <w:rsid w:val="006D4CB3"/>
    <w:rsid w:val="006E13AA"/>
    <w:rsid w:val="006E6EAE"/>
    <w:rsid w:val="006F04EE"/>
    <w:rsid w:val="006F0735"/>
    <w:rsid w:val="006F15C2"/>
    <w:rsid w:val="006F1F53"/>
    <w:rsid w:val="006F2221"/>
    <w:rsid w:val="006F4572"/>
    <w:rsid w:val="0070003C"/>
    <w:rsid w:val="00701C8D"/>
    <w:rsid w:val="00705683"/>
    <w:rsid w:val="00711877"/>
    <w:rsid w:val="00730BD4"/>
    <w:rsid w:val="00733F79"/>
    <w:rsid w:val="00734F73"/>
    <w:rsid w:val="00737E91"/>
    <w:rsid w:val="00745EE5"/>
    <w:rsid w:val="007473B4"/>
    <w:rsid w:val="00751F57"/>
    <w:rsid w:val="00753178"/>
    <w:rsid w:val="0076281F"/>
    <w:rsid w:val="0076692D"/>
    <w:rsid w:val="00771B61"/>
    <w:rsid w:val="00780B7D"/>
    <w:rsid w:val="007821EC"/>
    <w:rsid w:val="00782480"/>
    <w:rsid w:val="007872F4"/>
    <w:rsid w:val="00790210"/>
    <w:rsid w:val="007906DB"/>
    <w:rsid w:val="007C0ADF"/>
    <w:rsid w:val="007C5303"/>
    <w:rsid w:val="007D0456"/>
    <w:rsid w:val="007D7755"/>
    <w:rsid w:val="007E0AF5"/>
    <w:rsid w:val="007E1A70"/>
    <w:rsid w:val="007E3E69"/>
    <w:rsid w:val="007F4382"/>
    <w:rsid w:val="007F5129"/>
    <w:rsid w:val="007F6245"/>
    <w:rsid w:val="00806E75"/>
    <w:rsid w:val="00810F31"/>
    <w:rsid w:val="0084027E"/>
    <w:rsid w:val="008431D6"/>
    <w:rsid w:val="008478F3"/>
    <w:rsid w:val="00850DBD"/>
    <w:rsid w:val="00862EB5"/>
    <w:rsid w:val="00865257"/>
    <w:rsid w:val="008709DA"/>
    <w:rsid w:val="008755BE"/>
    <w:rsid w:val="008822B8"/>
    <w:rsid w:val="0089315C"/>
    <w:rsid w:val="00896462"/>
    <w:rsid w:val="008A6C99"/>
    <w:rsid w:val="008A7453"/>
    <w:rsid w:val="008B2281"/>
    <w:rsid w:val="008C113E"/>
    <w:rsid w:val="008C1440"/>
    <w:rsid w:val="008C33F2"/>
    <w:rsid w:val="008D2FA9"/>
    <w:rsid w:val="008E07C9"/>
    <w:rsid w:val="008E0E48"/>
    <w:rsid w:val="008E1938"/>
    <w:rsid w:val="008E19D9"/>
    <w:rsid w:val="008E385F"/>
    <w:rsid w:val="008E3CEC"/>
    <w:rsid w:val="008E7117"/>
    <w:rsid w:val="008E795E"/>
    <w:rsid w:val="00906F5A"/>
    <w:rsid w:val="00914D13"/>
    <w:rsid w:val="009156C8"/>
    <w:rsid w:val="00917FB7"/>
    <w:rsid w:val="009203F3"/>
    <w:rsid w:val="00921094"/>
    <w:rsid w:val="00922BD6"/>
    <w:rsid w:val="0094058E"/>
    <w:rsid w:val="00941B43"/>
    <w:rsid w:val="00951AA1"/>
    <w:rsid w:val="00962B54"/>
    <w:rsid w:val="00962DF7"/>
    <w:rsid w:val="00964DC1"/>
    <w:rsid w:val="00976952"/>
    <w:rsid w:val="00980ABC"/>
    <w:rsid w:val="00982351"/>
    <w:rsid w:val="009845FE"/>
    <w:rsid w:val="009875FB"/>
    <w:rsid w:val="009910CF"/>
    <w:rsid w:val="00996669"/>
    <w:rsid w:val="009A09F1"/>
    <w:rsid w:val="009A4BDA"/>
    <w:rsid w:val="009A6368"/>
    <w:rsid w:val="009B15C3"/>
    <w:rsid w:val="009B7835"/>
    <w:rsid w:val="009D7E2D"/>
    <w:rsid w:val="009F38A3"/>
    <w:rsid w:val="009F7955"/>
    <w:rsid w:val="009F7F0F"/>
    <w:rsid w:val="00A0002E"/>
    <w:rsid w:val="00A01CFA"/>
    <w:rsid w:val="00A02DBF"/>
    <w:rsid w:val="00A06169"/>
    <w:rsid w:val="00A0793F"/>
    <w:rsid w:val="00A1334C"/>
    <w:rsid w:val="00A16858"/>
    <w:rsid w:val="00A207B4"/>
    <w:rsid w:val="00A20EA0"/>
    <w:rsid w:val="00A24C61"/>
    <w:rsid w:val="00A3137C"/>
    <w:rsid w:val="00A3774E"/>
    <w:rsid w:val="00A46E38"/>
    <w:rsid w:val="00A50682"/>
    <w:rsid w:val="00A53249"/>
    <w:rsid w:val="00A552EC"/>
    <w:rsid w:val="00A61B03"/>
    <w:rsid w:val="00A629BC"/>
    <w:rsid w:val="00A64155"/>
    <w:rsid w:val="00A654CB"/>
    <w:rsid w:val="00A70A34"/>
    <w:rsid w:val="00A76238"/>
    <w:rsid w:val="00A771ED"/>
    <w:rsid w:val="00A965E0"/>
    <w:rsid w:val="00AB1C5B"/>
    <w:rsid w:val="00AB4F4F"/>
    <w:rsid w:val="00AC1146"/>
    <w:rsid w:val="00AC481C"/>
    <w:rsid w:val="00AC4F58"/>
    <w:rsid w:val="00AC79F4"/>
    <w:rsid w:val="00AD1699"/>
    <w:rsid w:val="00AD2348"/>
    <w:rsid w:val="00AD2AAE"/>
    <w:rsid w:val="00AF057A"/>
    <w:rsid w:val="00B06F36"/>
    <w:rsid w:val="00B165BF"/>
    <w:rsid w:val="00B16A14"/>
    <w:rsid w:val="00B21DDC"/>
    <w:rsid w:val="00B22F2C"/>
    <w:rsid w:val="00B23DA1"/>
    <w:rsid w:val="00B26C69"/>
    <w:rsid w:val="00B27009"/>
    <w:rsid w:val="00B30AA0"/>
    <w:rsid w:val="00B31D9A"/>
    <w:rsid w:val="00B34BA6"/>
    <w:rsid w:val="00B438AA"/>
    <w:rsid w:val="00B43E7F"/>
    <w:rsid w:val="00B57EF6"/>
    <w:rsid w:val="00B60D84"/>
    <w:rsid w:val="00B6297F"/>
    <w:rsid w:val="00B72930"/>
    <w:rsid w:val="00B7678D"/>
    <w:rsid w:val="00B80369"/>
    <w:rsid w:val="00B92DDA"/>
    <w:rsid w:val="00B94C2E"/>
    <w:rsid w:val="00BA67AA"/>
    <w:rsid w:val="00BB3186"/>
    <w:rsid w:val="00BB3673"/>
    <w:rsid w:val="00BB3B5E"/>
    <w:rsid w:val="00BC21A8"/>
    <w:rsid w:val="00BC35D7"/>
    <w:rsid w:val="00BC372E"/>
    <w:rsid w:val="00BC3D2E"/>
    <w:rsid w:val="00BD5D7E"/>
    <w:rsid w:val="00BE0529"/>
    <w:rsid w:val="00BE5A05"/>
    <w:rsid w:val="00BF3481"/>
    <w:rsid w:val="00BF3B94"/>
    <w:rsid w:val="00C01C53"/>
    <w:rsid w:val="00C02968"/>
    <w:rsid w:val="00C02B91"/>
    <w:rsid w:val="00C13A6E"/>
    <w:rsid w:val="00C147E9"/>
    <w:rsid w:val="00C2284F"/>
    <w:rsid w:val="00C23FC5"/>
    <w:rsid w:val="00C242AD"/>
    <w:rsid w:val="00C256E3"/>
    <w:rsid w:val="00C30A38"/>
    <w:rsid w:val="00C40695"/>
    <w:rsid w:val="00C4075C"/>
    <w:rsid w:val="00C418E4"/>
    <w:rsid w:val="00C439C8"/>
    <w:rsid w:val="00C46E49"/>
    <w:rsid w:val="00C507A5"/>
    <w:rsid w:val="00C50F8E"/>
    <w:rsid w:val="00C51620"/>
    <w:rsid w:val="00C5438F"/>
    <w:rsid w:val="00C569F5"/>
    <w:rsid w:val="00C5747E"/>
    <w:rsid w:val="00C678F9"/>
    <w:rsid w:val="00C81B96"/>
    <w:rsid w:val="00C86572"/>
    <w:rsid w:val="00C900A6"/>
    <w:rsid w:val="00CA3B88"/>
    <w:rsid w:val="00CA3CF5"/>
    <w:rsid w:val="00CA5FBF"/>
    <w:rsid w:val="00CA6EFD"/>
    <w:rsid w:val="00CB151A"/>
    <w:rsid w:val="00CB1583"/>
    <w:rsid w:val="00CB3FD9"/>
    <w:rsid w:val="00CB79DA"/>
    <w:rsid w:val="00CC4D77"/>
    <w:rsid w:val="00CC5C14"/>
    <w:rsid w:val="00CD392E"/>
    <w:rsid w:val="00CD456B"/>
    <w:rsid w:val="00CD76FF"/>
    <w:rsid w:val="00D101F7"/>
    <w:rsid w:val="00D124E1"/>
    <w:rsid w:val="00D14C7C"/>
    <w:rsid w:val="00D1792E"/>
    <w:rsid w:val="00D2282B"/>
    <w:rsid w:val="00D22BA9"/>
    <w:rsid w:val="00D25A58"/>
    <w:rsid w:val="00D261AE"/>
    <w:rsid w:val="00D2682C"/>
    <w:rsid w:val="00D33097"/>
    <w:rsid w:val="00D3488F"/>
    <w:rsid w:val="00D37CF7"/>
    <w:rsid w:val="00D42F37"/>
    <w:rsid w:val="00D52B1E"/>
    <w:rsid w:val="00D55C76"/>
    <w:rsid w:val="00D55FDF"/>
    <w:rsid w:val="00D5699A"/>
    <w:rsid w:val="00D5790F"/>
    <w:rsid w:val="00D65685"/>
    <w:rsid w:val="00D65B66"/>
    <w:rsid w:val="00D66E29"/>
    <w:rsid w:val="00D67923"/>
    <w:rsid w:val="00D76045"/>
    <w:rsid w:val="00D8102D"/>
    <w:rsid w:val="00D90688"/>
    <w:rsid w:val="00DA223A"/>
    <w:rsid w:val="00DA359C"/>
    <w:rsid w:val="00DA6681"/>
    <w:rsid w:val="00DB5D60"/>
    <w:rsid w:val="00DB637B"/>
    <w:rsid w:val="00DB6A1E"/>
    <w:rsid w:val="00DB6CEA"/>
    <w:rsid w:val="00DC751D"/>
    <w:rsid w:val="00DD0381"/>
    <w:rsid w:val="00DD6FA3"/>
    <w:rsid w:val="00DE2EB6"/>
    <w:rsid w:val="00DE4A02"/>
    <w:rsid w:val="00DE4A61"/>
    <w:rsid w:val="00DE5B5E"/>
    <w:rsid w:val="00DF2412"/>
    <w:rsid w:val="00DF775C"/>
    <w:rsid w:val="00E03DF3"/>
    <w:rsid w:val="00E15224"/>
    <w:rsid w:val="00E16843"/>
    <w:rsid w:val="00E32AF4"/>
    <w:rsid w:val="00E34EA8"/>
    <w:rsid w:val="00E37E29"/>
    <w:rsid w:val="00E42DC0"/>
    <w:rsid w:val="00E516CB"/>
    <w:rsid w:val="00E533AE"/>
    <w:rsid w:val="00E55B3B"/>
    <w:rsid w:val="00E5712B"/>
    <w:rsid w:val="00E611B5"/>
    <w:rsid w:val="00E656BC"/>
    <w:rsid w:val="00E74D64"/>
    <w:rsid w:val="00E83FC0"/>
    <w:rsid w:val="00E86716"/>
    <w:rsid w:val="00E954BE"/>
    <w:rsid w:val="00E95742"/>
    <w:rsid w:val="00EA3AE9"/>
    <w:rsid w:val="00EA47A9"/>
    <w:rsid w:val="00EA7C98"/>
    <w:rsid w:val="00EB197A"/>
    <w:rsid w:val="00EC1CBF"/>
    <w:rsid w:val="00EC2118"/>
    <w:rsid w:val="00EC22F3"/>
    <w:rsid w:val="00EE5381"/>
    <w:rsid w:val="00EF1550"/>
    <w:rsid w:val="00EF49F4"/>
    <w:rsid w:val="00F02B34"/>
    <w:rsid w:val="00F02C3E"/>
    <w:rsid w:val="00F12060"/>
    <w:rsid w:val="00F12942"/>
    <w:rsid w:val="00F140A4"/>
    <w:rsid w:val="00F212C6"/>
    <w:rsid w:val="00F23E1F"/>
    <w:rsid w:val="00F27CFC"/>
    <w:rsid w:val="00F27FA7"/>
    <w:rsid w:val="00F27FFD"/>
    <w:rsid w:val="00F3026A"/>
    <w:rsid w:val="00F36518"/>
    <w:rsid w:val="00F4334C"/>
    <w:rsid w:val="00F4618B"/>
    <w:rsid w:val="00F52060"/>
    <w:rsid w:val="00F61DD9"/>
    <w:rsid w:val="00F64B1E"/>
    <w:rsid w:val="00F7413F"/>
    <w:rsid w:val="00F7491E"/>
    <w:rsid w:val="00F80110"/>
    <w:rsid w:val="00F82C29"/>
    <w:rsid w:val="00F85094"/>
    <w:rsid w:val="00F94AEA"/>
    <w:rsid w:val="00FA2688"/>
    <w:rsid w:val="00FB16E4"/>
    <w:rsid w:val="00FC799F"/>
    <w:rsid w:val="00FE135D"/>
    <w:rsid w:val="00FE5BF4"/>
    <w:rsid w:val="00FF0A1A"/>
    <w:rsid w:val="00FF1D13"/>
    <w:rsid w:val="00FF3EDA"/>
    <w:rsid w:val="00FF4C68"/>
    <w:rsid w:val="00FF55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E2B8"/>
  <w15:docId w15:val="{7F78D1EF-E280-40C6-B630-CB710006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95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524F19"/>
    <w:pPr>
      <w:tabs>
        <w:tab w:val="left" w:pos="-864"/>
        <w:tab w:val="left" w:pos="-567"/>
        <w:tab w:val="left" w:pos="288"/>
        <w:tab w:val="left" w:pos="1440"/>
        <w:tab w:val="left" w:pos="1728"/>
        <w:tab w:val="left" w:pos="2592"/>
        <w:tab w:val="left" w:pos="2880"/>
        <w:tab w:val="left" w:pos="3744"/>
        <w:tab w:val="left" w:pos="4032"/>
        <w:tab w:val="left" w:pos="4896"/>
        <w:tab w:val="left" w:pos="5184"/>
        <w:tab w:val="left" w:pos="6048"/>
        <w:tab w:val="left" w:pos="6336"/>
        <w:tab w:val="left" w:pos="7200"/>
        <w:tab w:val="left" w:pos="8352"/>
        <w:tab w:val="left" w:pos="8640"/>
        <w:tab w:val="left" w:pos="9498"/>
        <w:tab w:val="left" w:pos="9792"/>
        <w:tab w:val="left" w:pos="10656"/>
        <w:tab w:val="left" w:pos="10944"/>
        <w:tab w:val="left" w:pos="11808"/>
        <w:tab w:val="left" w:pos="12096"/>
        <w:tab w:val="left" w:pos="12960"/>
        <w:tab w:val="left" w:pos="13248"/>
        <w:tab w:val="left" w:pos="14112"/>
        <w:tab w:val="left" w:pos="14400"/>
        <w:tab w:val="left" w:pos="15264"/>
        <w:tab w:val="left" w:pos="15552"/>
        <w:tab w:val="left" w:pos="16416"/>
        <w:tab w:val="left" w:pos="16704"/>
        <w:tab w:val="left" w:pos="17568"/>
        <w:tab w:val="left" w:pos="17856"/>
        <w:tab w:val="left" w:pos="18720"/>
        <w:tab w:val="left" w:pos="19008"/>
        <w:tab w:val="left" w:pos="19872"/>
        <w:tab w:val="left" w:pos="20160"/>
        <w:tab w:val="left" w:pos="21024"/>
        <w:tab w:val="left" w:pos="21312"/>
        <w:tab w:val="left" w:pos="22176"/>
        <w:tab w:val="left" w:pos="22464"/>
        <w:tab w:val="left" w:pos="23328"/>
        <w:tab w:val="left" w:pos="23616"/>
        <w:tab w:val="left" w:pos="24480"/>
        <w:tab w:val="left" w:pos="24768"/>
        <w:tab w:val="left" w:pos="25632"/>
        <w:tab w:val="left" w:pos="25920"/>
        <w:tab w:val="left" w:pos="26784"/>
        <w:tab w:val="left" w:pos="27072"/>
      </w:tabs>
      <w:spacing w:after="0" w:line="360" w:lineRule="auto"/>
      <w:ind w:right="15"/>
      <w:jc w:val="both"/>
    </w:pPr>
    <w:rPr>
      <w:rFonts w:eastAsia="Arial Unicode MS" w:cs="Times New Roman"/>
      <w:szCs w:val="20"/>
      <w:lang w:eastAsia="pt-BR"/>
    </w:rPr>
  </w:style>
  <w:style w:type="character" w:customStyle="1" w:styleId="Corpodetexto2Char">
    <w:name w:val="Corpo de texto 2 Char"/>
    <w:basedOn w:val="Fontepargpadro"/>
    <w:link w:val="Corpodetexto2"/>
    <w:rsid w:val="00524F19"/>
    <w:rPr>
      <w:rFonts w:eastAsia="Arial Unicode MS" w:cs="Times New Roman"/>
      <w:szCs w:val="20"/>
      <w:lang w:eastAsia="pt-BR"/>
    </w:rPr>
  </w:style>
  <w:style w:type="paragraph" w:styleId="PargrafodaLista">
    <w:name w:val="List Paragraph"/>
    <w:basedOn w:val="Normal"/>
    <w:uiPriority w:val="34"/>
    <w:qFormat/>
    <w:rsid w:val="008E385F"/>
    <w:pPr>
      <w:ind w:left="720"/>
      <w:contextualSpacing/>
    </w:pPr>
  </w:style>
  <w:style w:type="paragraph" w:styleId="Cabealho">
    <w:name w:val="header"/>
    <w:basedOn w:val="Normal"/>
    <w:link w:val="CabealhoChar"/>
    <w:uiPriority w:val="99"/>
    <w:semiHidden/>
    <w:unhideWhenUsed/>
    <w:rsid w:val="0070568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05683"/>
  </w:style>
  <w:style w:type="paragraph" w:styleId="Rodap">
    <w:name w:val="footer"/>
    <w:basedOn w:val="Normal"/>
    <w:link w:val="RodapChar"/>
    <w:uiPriority w:val="99"/>
    <w:unhideWhenUsed/>
    <w:rsid w:val="00705683"/>
    <w:pPr>
      <w:tabs>
        <w:tab w:val="center" w:pos="4252"/>
        <w:tab w:val="right" w:pos="8504"/>
      </w:tabs>
      <w:spacing w:after="0" w:line="240" w:lineRule="auto"/>
    </w:pPr>
  </w:style>
  <w:style w:type="character" w:customStyle="1" w:styleId="RodapChar">
    <w:name w:val="Rodapé Char"/>
    <w:basedOn w:val="Fontepargpadro"/>
    <w:link w:val="Rodap"/>
    <w:uiPriority w:val="99"/>
    <w:rsid w:val="00705683"/>
  </w:style>
  <w:style w:type="paragraph" w:styleId="Textodenotaderodap">
    <w:name w:val="footnote text"/>
    <w:basedOn w:val="Normal"/>
    <w:link w:val="TextodenotaderodapChar"/>
    <w:uiPriority w:val="99"/>
    <w:semiHidden/>
    <w:unhideWhenUsed/>
    <w:rsid w:val="0070568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05683"/>
    <w:rPr>
      <w:sz w:val="20"/>
      <w:szCs w:val="20"/>
    </w:rPr>
  </w:style>
  <w:style w:type="character" w:styleId="Refdenotaderodap">
    <w:name w:val="footnote reference"/>
    <w:basedOn w:val="Fontepargpadro"/>
    <w:uiPriority w:val="99"/>
    <w:semiHidden/>
    <w:unhideWhenUsed/>
    <w:rsid w:val="00705683"/>
    <w:rPr>
      <w:vertAlign w:val="superscript"/>
    </w:rPr>
  </w:style>
  <w:style w:type="character" w:customStyle="1" w:styleId="fontstyle01">
    <w:name w:val="fontstyle01"/>
    <w:basedOn w:val="Fontepargpadro"/>
    <w:rsid w:val="00336C66"/>
    <w:rPr>
      <w:rFonts w:ascii="MinionPro-Regular" w:hAnsi="MinionPro-Regular" w:hint="default"/>
      <w:b w:val="0"/>
      <w:bCs w:val="0"/>
      <w:i w:val="0"/>
      <w:iCs w:val="0"/>
      <w:color w:val="000000"/>
      <w:sz w:val="20"/>
      <w:szCs w:val="20"/>
    </w:rPr>
  </w:style>
  <w:style w:type="character" w:customStyle="1" w:styleId="fontstyle21">
    <w:name w:val="fontstyle21"/>
    <w:basedOn w:val="Fontepargpadro"/>
    <w:rsid w:val="00336C66"/>
    <w:rPr>
      <w:rFonts w:ascii="MinionPro-Regular+20" w:hAnsi="MinionPro-Regular+20" w:hint="default"/>
      <w:b w:val="0"/>
      <w:bCs w:val="0"/>
      <w:i w:val="0"/>
      <w:iCs w:val="0"/>
      <w:color w:val="000000"/>
      <w:sz w:val="20"/>
      <w:szCs w:val="20"/>
    </w:rPr>
  </w:style>
  <w:style w:type="character" w:customStyle="1" w:styleId="fontstyle31">
    <w:name w:val="fontstyle31"/>
    <w:basedOn w:val="Fontepargpadro"/>
    <w:rsid w:val="00336C66"/>
    <w:rPr>
      <w:rFonts w:ascii="MinionPro-Regular+fb" w:hAnsi="MinionPro-Regular+fb" w:hint="default"/>
      <w:b w:val="0"/>
      <w:bCs w:val="0"/>
      <w:i w:val="0"/>
      <w:iCs w:val="0"/>
      <w:color w:val="000000"/>
      <w:sz w:val="20"/>
      <w:szCs w:val="20"/>
    </w:rPr>
  </w:style>
  <w:style w:type="character" w:customStyle="1" w:styleId="fontstyle41">
    <w:name w:val="fontstyle41"/>
    <w:basedOn w:val="Fontepargpadro"/>
    <w:rsid w:val="00336C66"/>
    <w:rPr>
      <w:rFonts w:ascii="MinionPro-It" w:hAnsi="MinionPro-It" w:hint="default"/>
      <w:b w:val="0"/>
      <w:bCs w:val="0"/>
      <w:i w:val="0"/>
      <w:iCs w:val="0"/>
      <w:color w:val="000000"/>
      <w:sz w:val="20"/>
      <w:szCs w:val="20"/>
    </w:rPr>
  </w:style>
  <w:style w:type="paragraph" w:styleId="Partesuperior-zdoformulrio">
    <w:name w:val="HTML Top of Form"/>
    <w:basedOn w:val="Normal"/>
    <w:next w:val="Normal"/>
    <w:link w:val="Partesuperior-zdoformulrioChar"/>
    <w:hidden/>
    <w:uiPriority w:val="99"/>
    <w:semiHidden/>
    <w:unhideWhenUsed/>
    <w:rsid w:val="00CB3FD9"/>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CB3FD9"/>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CB3FD9"/>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CB3FD9"/>
    <w:rPr>
      <w:rFonts w:ascii="Arial" w:eastAsia="Times New Roman" w:hAnsi="Arial" w:cs="Arial"/>
      <w:vanish/>
      <w:sz w:val="16"/>
      <w:szCs w:val="16"/>
      <w:lang w:eastAsia="pt-BR"/>
    </w:rPr>
  </w:style>
  <w:style w:type="character" w:styleId="Hyperlink">
    <w:name w:val="Hyperlink"/>
    <w:basedOn w:val="Fontepargpadro"/>
    <w:uiPriority w:val="99"/>
    <w:unhideWhenUsed/>
    <w:rsid w:val="00C900A6"/>
    <w:rPr>
      <w:color w:val="0000FF" w:themeColor="hyperlink"/>
      <w:u w:val="single"/>
    </w:rPr>
  </w:style>
  <w:style w:type="character" w:styleId="Forte">
    <w:name w:val="Strong"/>
    <w:basedOn w:val="Fontepargpadro"/>
    <w:uiPriority w:val="22"/>
    <w:qFormat/>
    <w:rsid w:val="00F27FFD"/>
    <w:rPr>
      <w:b/>
      <w:bCs/>
    </w:rPr>
  </w:style>
  <w:style w:type="paragraph" w:styleId="Textodebalo">
    <w:name w:val="Balloon Text"/>
    <w:basedOn w:val="Normal"/>
    <w:link w:val="TextodebaloChar"/>
    <w:uiPriority w:val="99"/>
    <w:semiHidden/>
    <w:unhideWhenUsed/>
    <w:rsid w:val="006414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1451"/>
    <w:rPr>
      <w:rFonts w:ascii="Tahoma" w:hAnsi="Tahoma" w:cs="Tahoma"/>
      <w:sz w:val="16"/>
      <w:szCs w:val="16"/>
    </w:rPr>
  </w:style>
  <w:style w:type="paragraph" w:customStyle="1" w:styleId="indent">
    <w:name w:val="indent"/>
    <w:basedOn w:val="Normal"/>
    <w:rsid w:val="00026EB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26EB8"/>
    <w:rPr>
      <w:i/>
      <w:iCs/>
    </w:rPr>
  </w:style>
  <w:style w:type="character" w:customStyle="1" w:styleId="tei-persname">
    <w:name w:val="tei-persname"/>
    <w:basedOn w:val="Fontepargpadro"/>
    <w:rsid w:val="00B92DDA"/>
  </w:style>
  <w:style w:type="character" w:customStyle="1" w:styleId="tei-hi2">
    <w:name w:val="tei-hi2"/>
    <w:basedOn w:val="Fontepargpadro"/>
    <w:rsid w:val="00B92DDA"/>
  </w:style>
  <w:style w:type="character" w:styleId="CitaoHTML">
    <w:name w:val="HTML Cite"/>
    <w:basedOn w:val="Fontepargpadro"/>
    <w:uiPriority w:val="99"/>
    <w:semiHidden/>
    <w:unhideWhenUsed/>
    <w:rsid w:val="00D14C7C"/>
    <w:rPr>
      <w:i/>
      <w:iCs/>
    </w:rPr>
  </w:style>
  <w:style w:type="character" w:styleId="HiperlinkVisitado">
    <w:name w:val="FollowedHyperlink"/>
    <w:basedOn w:val="Fontepargpadro"/>
    <w:uiPriority w:val="99"/>
    <w:semiHidden/>
    <w:unhideWhenUsed/>
    <w:rsid w:val="00D14C7C"/>
    <w:rPr>
      <w:color w:val="800080" w:themeColor="followedHyperlink"/>
      <w:u w:val="single"/>
    </w:rPr>
  </w:style>
  <w:style w:type="paragraph" w:customStyle="1" w:styleId="Textbody">
    <w:name w:val="Text body"/>
    <w:basedOn w:val="Normal"/>
    <w:rsid w:val="00BC372E"/>
    <w:pPr>
      <w:widowControl w:val="0"/>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character" w:customStyle="1" w:styleId="StrongEmphasis">
    <w:name w:val="Strong Emphasis"/>
    <w:rsid w:val="00BC3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0473">
      <w:bodyDiv w:val="1"/>
      <w:marLeft w:val="0"/>
      <w:marRight w:val="0"/>
      <w:marTop w:val="0"/>
      <w:marBottom w:val="0"/>
      <w:divBdr>
        <w:top w:val="none" w:sz="0" w:space="0" w:color="auto"/>
        <w:left w:val="none" w:sz="0" w:space="0" w:color="auto"/>
        <w:bottom w:val="none" w:sz="0" w:space="0" w:color="auto"/>
        <w:right w:val="none" w:sz="0" w:space="0" w:color="auto"/>
      </w:divBdr>
    </w:div>
    <w:div w:id="198131161">
      <w:bodyDiv w:val="1"/>
      <w:marLeft w:val="0"/>
      <w:marRight w:val="0"/>
      <w:marTop w:val="0"/>
      <w:marBottom w:val="0"/>
      <w:divBdr>
        <w:top w:val="none" w:sz="0" w:space="0" w:color="auto"/>
        <w:left w:val="none" w:sz="0" w:space="0" w:color="auto"/>
        <w:bottom w:val="none" w:sz="0" w:space="0" w:color="auto"/>
        <w:right w:val="none" w:sz="0" w:space="0" w:color="auto"/>
      </w:divBdr>
    </w:div>
    <w:div w:id="218250995">
      <w:bodyDiv w:val="1"/>
      <w:marLeft w:val="0"/>
      <w:marRight w:val="0"/>
      <w:marTop w:val="0"/>
      <w:marBottom w:val="0"/>
      <w:divBdr>
        <w:top w:val="none" w:sz="0" w:space="0" w:color="auto"/>
        <w:left w:val="none" w:sz="0" w:space="0" w:color="auto"/>
        <w:bottom w:val="none" w:sz="0" w:space="0" w:color="auto"/>
        <w:right w:val="none" w:sz="0" w:space="0" w:color="auto"/>
      </w:divBdr>
    </w:div>
    <w:div w:id="277880546">
      <w:bodyDiv w:val="1"/>
      <w:marLeft w:val="0"/>
      <w:marRight w:val="0"/>
      <w:marTop w:val="0"/>
      <w:marBottom w:val="0"/>
      <w:divBdr>
        <w:top w:val="none" w:sz="0" w:space="0" w:color="auto"/>
        <w:left w:val="none" w:sz="0" w:space="0" w:color="auto"/>
        <w:bottom w:val="none" w:sz="0" w:space="0" w:color="auto"/>
        <w:right w:val="none" w:sz="0" w:space="0" w:color="auto"/>
      </w:divBdr>
    </w:div>
    <w:div w:id="288828504">
      <w:bodyDiv w:val="1"/>
      <w:marLeft w:val="0"/>
      <w:marRight w:val="0"/>
      <w:marTop w:val="0"/>
      <w:marBottom w:val="0"/>
      <w:divBdr>
        <w:top w:val="none" w:sz="0" w:space="0" w:color="auto"/>
        <w:left w:val="none" w:sz="0" w:space="0" w:color="auto"/>
        <w:bottom w:val="none" w:sz="0" w:space="0" w:color="auto"/>
        <w:right w:val="none" w:sz="0" w:space="0" w:color="auto"/>
      </w:divBdr>
      <w:divsChild>
        <w:div w:id="316108898">
          <w:marLeft w:val="0"/>
          <w:marRight w:val="0"/>
          <w:marTop w:val="0"/>
          <w:marBottom w:val="0"/>
          <w:divBdr>
            <w:top w:val="none" w:sz="0" w:space="0" w:color="auto"/>
            <w:left w:val="none" w:sz="0" w:space="0" w:color="auto"/>
            <w:bottom w:val="none" w:sz="0" w:space="0" w:color="auto"/>
            <w:right w:val="none" w:sz="0" w:space="0" w:color="auto"/>
          </w:divBdr>
          <w:divsChild>
            <w:div w:id="386030622">
              <w:marLeft w:val="0"/>
              <w:marRight w:val="0"/>
              <w:marTop w:val="0"/>
              <w:marBottom w:val="0"/>
              <w:divBdr>
                <w:top w:val="single" w:sz="12" w:space="5" w:color="455560"/>
                <w:left w:val="single" w:sz="12" w:space="5" w:color="455560"/>
                <w:bottom w:val="single" w:sz="12" w:space="5" w:color="455560"/>
                <w:right w:val="single" w:sz="12" w:space="5" w:color="455560"/>
              </w:divBdr>
              <w:divsChild>
                <w:div w:id="1261528755">
                  <w:marLeft w:val="168"/>
                  <w:marRight w:val="168"/>
                  <w:marTop w:val="0"/>
                  <w:marBottom w:val="0"/>
                  <w:divBdr>
                    <w:top w:val="single" w:sz="4" w:space="0" w:color="D0D4D7"/>
                    <w:left w:val="single" w:sz="4" w:space="0" w:color="D0D4D7"/>
                    <w:bottom w:val="single" w:sz="4" w:space="0" w:color="D0D4D7"/>
                    <w:right w:val="single" w:sz="4" w:space="0" w:color="D0D4D7"/>
                  </w:divBdr>
                  <w:divsChild>
                    <w:div w:id="777796804">
                      <w:marLeft w:val="0"/>
                      <w:marRight w:val="0"/>
                      <w:marTop w:val="0"/>
                      <w:marBottom w:val="0"/>
                      <w:divBdr>
                        <w:top w:val="none" w:sz="0" w:space="0" w:color="auto"/>
                        <w:left w:val="none" w:sz="0" w:space="0" w:color="auto"/>
                        <w:bottom w:val="single" w:sz="4" w:space="2" w:color="D0D4D7"/>
                        <w:right w:val="none" w:sz="0" w:space="0" w:color="auto"/>
                      </w:divBdr>
                      <w:divsChild>
                        <w:div w:id="1347712526">
                          <w:marLeft w:val="0"/>
                          <w:marRight w:val="0"/>
                          <w:marTop w:val="46"/>
                          <w:marBottom w:val="0"/>
                          <w:divBdr>
                            <w:top w:val="single" w:sz="4" w:space="2" w:color="6A7780"/>
                            <w:left w:val="single" w:sz="4" w:space="3" w:color="6A7780"/>
                            <w:bottom w:val="single" w:sz="4" w:space="2" w:color="6A7780"/>
                            <w:right w:val="single" w:sz="4" w:space="3" w:color="6A7780"/>
                          </w:divBdr>
                        </w:div>
                      </w:divsChild>
                    </w:div>
                  </w:divsChild>
                </w:div>
              </w:divsChild>
            </w:div>
          </w:divsChild>
        </w:div>
      </w:divsChild>
    </w:div>
    <w:div w:id="557085682">
      <w:bodyDiv w:val="1"/>
      <w:marLeft w:val="0"/>
      <w:marRight w:val="0"/>
      <w:marTop w:val="0"/>
      <w:marBottom w:val="0"/>
      <w:divBdr>
        <w:top w:val="none" w:sz="0" w:space="0" w:color="auto"/>
        <w:left w:val="none" w:sz="0" w:space="0" w:color="auto"/>
        <w:bottom w:val="none" w:sz="0" w:space="0" w:color="auto"/>
        <w:right w:val="none" w:sz="0" w:space="0" w:color="auto"/>
      </w:divBdr>
    </w:div>
    <w:div w:id="682979341">
      <w:bodyDiv w:val="1"/>
      <w:marLeft w:val="0"/>
      <w:marRight w:val="0"/>
      <w:marTop w:val="0"/>
      <w:marBottom w:val="0"/>
      <w:divBdr>
        <w:top w:val="none" w:sz="0" w:space="0" w:color="auto"/>
        <w:left w:val="none" w:sz="0" w:space="0" w:color="auto"/>
        <w:bottom w:val="none" w:sz="0" w:space="0" w:color="auto"/>
        <w:right w:val="none" w:sz="0" w:space="0" w:color="auto"/>
      </w:divBdr>
    </w:div>
    <w:div w:id="715735101">
      <w:bodyDiv w:val="1"/>
      <w:marLeft w:val="0"/>
      <w:marRight w:val="0"/>
      <w:marTop w:val="0"/>
      <w:marBottom w:val="0"/>
      <w:divBdr>
        <w:top w:val="none" w:sz="0" w:space="0" w:color="auto"/>
        <w:left w:val="none" w:sz="0" w:space="0" w:color="auto"/>
        <w:bottom w:val="none" w:sz="0" w:space="0" w:color="auto"/>
        <w:right w:val="none" w:sz="0" w:space="0" w:color="auto"/>
      </w:divBdr>
    </w:div>
    <w:div w:id="954941277">
      <w:bodyDiv w:val="1"/>
      <w:marLeft w:val="0"/>
      <w:marRight w:val="0"/>
      <w:marTop w:val="0"/>
      <w:marBottom w:val="0"/>
      <w:divBdr>
        <w:top w:val="none" w:sz="0" w:space="0" w:color="auto"/>
        <w:left w:val="none" w:sz="0" w:space="0" w:color="auto"/>
        <w:bottom w:val="none" w:sz="0" w:space="0" w:color="auto"/>
        <w:right w:val="none" w:sz="0" w:space="0" w:color="auto"/>
      </w:divBdr>
    </w:div>
    <w:div w:id="1021971444">
      <w:bodyDiv w:val="1"/>
      <w:marLeft w:val="0"/>
      <w:marRight w:val="0"/>
      <w:marTop w:val="0"/>
      <w:marBottom w:val="0"/>
      <w:divBdr>
        <w:top w:val="none" w:sz="0" w:space="0" w:color="auto"/>
        <w:left w:val="none" w:sz="0" w:space="0" w:color="auto"/>
        <w:bottom w:val="none" w:sz="0" w:space="0" w:color="auto"/>
        <w:right w:val="none" w:sz="0" w:space="0" w:color="auto"/>
      </w:divBdr>
    </w:div>
    <w:div w:id="1126776299">
      <w:bodyDiv w:val="1"/>
      <w:marLeft w:val="0"/>
      <w:marRight w:val="0"/>
      <w:marTop w:val="0"/>
      <w:marBottom w:val="0"/>
      <w:divBdr>
        <w:top w:val="none" w:sz="0" w:space="0" w:color="auto"/>
        <w:left w:val="none" w:sz="0" w:space="0" w:color="auto"/>
        <w:bottom w:val="none" w:sz="0" w:space="0" w:color="auto"/>
        <w:right w:val="none" w:sz="0" w:space="0" w:color="auto"/>
      </w:divBdr>
    </w:div>
    <w:div w:id="1132557509">
      <w:bodyDiv w:val="1"/>
      <w:marLeft w:val="0"/>
      <w:marRight w:val="0"/>
      <w:marTop w:val="0"/>
      <w:marBottom w:val="0"/>
      <w:divBdr>
        <w:top w:val="none" w:sz="0" w:space="0" w:color="auto"/>
        <w:left w:val="none" w:sz="0" w:space="0" w:color="auto"/>
        <w:bottom w:val="none" w:sz="0" w:space="0" w:color="auto"/>
        <w:right w:val="none" w:sz="0" w:space="0" w:color="auto"/>
      </w:divBdr>
    </w:div>
    <w:div w:id="1485242772">
      <w:bodyDiv w:val="1"/>
      <w:marLeft w:val="0"/>
      <w:marRight w:val="0"/>
      <w:marTop w:val="0"/>
      <w:marBottom w:val="0"/>
      <w:divBdr>
        <w:top w:val="none" w:sz="0" w:space="0" w:color="auto"/>
        <w:left w:val="none" w:sz="0" w:space="0" w:color="auto"/>
        <w:bottom w:val="none" w:sz="0" w:space="0" w:color="auto"/>
        <w:right w:val="none" w:sz="0" w:space="0" w:color="auto"/>
      </w:divBdr>
      <w:divsChild>
        <w:div w:id="679812834">
          <w:marLeft w:val="1267"/>
          <w:marRight w:val="0"/>
          <w:marTop w:val="0"/>
          <w:marBottom w:val="0"/>
          <w:divBdr>
            <w:top w:val="none" w:sz="0" w:space="0" w:color="auto"/>
            <w:left w:val="none" w:sz="0" w:space="0" w:color="auto"/>
            <w:bottom w:val="none" w:sz="0" w:space="0" w:color="auto"/>
            <w:right w:val="none" w:sz="0" w:space="0" w:color="auto"/>
          </w:divBdr>
        </w:div>
        <w:div w:id="864290699">
          <w:marLeft w:val="1267"/>
          <w:marRight w:val="0"/>
          <w:marTop w:val="0"/>
          <w:marBottom w:val="0"/>
          <w:divBdr>
            <w:top w:val="none" w:sz="0" w:space="0" w:color="auto"/>
            <w:left w:val="none" w:sz="0" w:space="0" w:color="auto"/>
            <w:bottom w:val="none" w:sz="0" w:space="0" w:color="auto"/>
            <w:right w:val="none" w:sz="0" w:space="0" w:color="auto"/>
          </w:divBdr>
        </w:div>
        <w:div w:id="1797219716">
          <w:marLeft w:val="1267"/>
          <w:marRight w:val="0"/>
          <w:marTop w:val="0"/>
          <w:marBottom w:val="0"/>
          <w:divBdr>
            <w:top w:val="none" w:sz="0" w:space="0" w:color="auto"/>
            <w:left w:val="none" w:sz="0" w:space="0" w:color="auto"/>
            <w:bottom w:val="none" w:sz="0" w:space="0" w:color="auto"/>
            <w:right w:val="none" w:sz="0" w:space="0" w:color="auto"/>
          </w:divBdr>
        </w:div>
      </w:divsChild>
    </w:div>
    <w:div w:id="1576011021">
      <w:bodyDiv w:val="1"/>
      <w:marLeft w:val="0"/>
      <w:marRight w:val="0"/>
      <w:marTop w:val="0"/>
      <w:marBottom w:val="0"/>
      <w:divBdr>
        <w:top w:val="none" w:sz="0" w:space="0" w:color="auto"/>
        <w:left w:val="none" w:sz="0" w:space="0" w:color="auto"/>
        <w:bottom w:val="none" w:sz="0" w:space="0" w:color="auto"/>
        <w:right w:val="none" w:sz="0" w:space="0" w:color="auto"/>
      </w:divBdr>
      <w:divsChild>
        <w:div w:id="2000116124">
          <w:marLeft w:val="0"/>
          <w:marRight w:val="0"/>
          <w:marTop w:val="0"/>
          <w:marBottom w:val="0"/>
          <w:divBdr>
            <w:top w:val="none" w:sz="0" w:space="0" w:color="auto"/>
            <w:left w:val="none" w:sz="0" w:space="0" w:color="auto"/>
            <w:bottom w:val="none" w:sz="0" w:space="0" w:color="auto"/>
            <w:right w:val="none" w:sz="0" w:space="0" w:color="auto"/>
          </w:divBdr>
          <w:divsChild>
            <w:div w:id="476189170">
              <w:marLeft w:val="0"/>
              <w:marRight w:val="0"/>
              <w:marTop w:val="0"/>
              <w:marBottom w:val="0"/>
              <w:divBdr>
                <w:top w:val="single" w:sz="12" w:space="5" w:color="455560"/>
                <w:left w:val="single" w:sz="12" w:space="5" w:color="455560"/>
                <w:bottom w:val="single" w:sz="12" w:space="5" w:color="455560"/>
                <w:right w:val="single" w:sz="12" w:space="5" w:color="455560"/>
              </w:divBdr>
              <w:divsChild>
                <w:div w:id="132564">
                  <w:marLeft w:val="168"/>
                  <w:marRight w:val="168"/>
                  <w:marTop w:val="0"/>
                  <w:marBottom w:val="0"/>
                  <w:divBdr>
                    <w:top w:val="single" w:sz="4" w:space="0" w:color="D0D4D7"/>
                    <w:left w:val="single" w:sz="4" w:space="0" w:color="D0D4D7"/>
                    <w:bottom w:val="single" w:sz="4" w:space="0" w:color="D0D4D7"/>
                    <w:right w:val="single" w:sz="4" w:space="0" w:color="D0D4D7"/>
                  </w:divBdr>
                  <w:divsChild>
                    <w:div w:id="322129659">
                      <w:marLeft w:val="0"/>
                      <w:marRight w:val="0"/>
                      <w:marTop w:val="0"/>
                      <w:marBottom w:val="0"/>
                      <w:divBdr>
                        <w:top w:val="none" w:sz="0" w:space="0" w:color="auto"/>
                        <w:left w:val="none" w:sz="0" w:space="0" w:color="auto"/>
                        <w:bottom w:val="single" w:sz="4" w:space="2" w:color="D0D4D7"/>
                        <w:right w:val="none" w:sz="0" w:space="0" w:color="auto"/>
                      </w:divBdr>
                      <w:divsChild>
                        <w:div w:id="604533205">
                          <w:marLeft w:val="0"/>
                          <w:marRight w:val="0"/>
                          <w:marTop w:val="46"/>
                          <w:marBottom w:val="0"/>
                          <w:divBdr>
                            <w:top w:val="single" w:sz="4" w:space="2" w:color="6A7780"/>
                            <w:left w:val="single" w:sz="4" w:space="3" w:color="6A7780"/>
                            <w:bottom w:val="single" w:sz="4" w:space="2" w:color="6A7780"/>
                            <w:right w:val="single" w:sz="4" w:space="3" w:color="6A7780"/>
                          </w:divBdr>
                        </w:div>
                      </w:divsChild>
                    </w:div>
                  </w:divsChild>
                </w:div>
              </w:divsChild>
            </w:div>
          </w:divsChild>
        </w:div>
      </w:divsChild>
    </w:div>
    <w:div w:id="1620523757">
      <w:bodyDiv w:val="1"/>
      <w:marLeft w:val="0"/>
      <w:marRight w:val="0"/>
      <w:marTop w:val="0"/>
      <w:marBottom w:val="0"/>
      <w:divBdr>
        <w:top w:val="none" w:sz="0" w:space="0" w:color="auto"/>
        <w:left w:val="none" w:sz="0" w:space="0" w:color="auto"/>
        <w:bottom w:val="none" w:sz="0" w:space="0" w:color="auto"/>
        <w:right w:val="none" w:sz="0" w:space="0" w:color="auto"/>
      </w:divBdr>
      <w:divsChild>
        <w:div w:id="1372850322">
          <w:marLeft w:val="360"/>
          <w:marRight w:val="0"/>
          <w:marTop w:val="200"/>
          <w:marBottom w:val="0"/>
          <w:divBdr>
            <w:top w:val="none" w:sz="0" w:space="0" w:color="auto"/>
            <w:left w:val="none" w:sz="0" w:space="0" w:color="auto"/>
            <w:bottom w:val="none" w:sz="0" w:space="0" w:color="auto"/>
            <w:right w:val="none" w:sz="0" w:space="0" w:color="auto"/>
          </w:divBdr>
        </w:div>
      </w:divsChild>
    </w:div>
    <w:div w:id="1679117643">
      <w:bodyDiv w:val="1"/>
      <w:marLeft w:val="0"/>
      <w:marRight w:val="0"/>
      <w:marTop w:val="0"/>
      <w:marBottom w:val="0"/>
      <w:divBdr>
        <w:top w:val="none" w:sz="0" w:space="0" w:color="auto"/>
        <w:left w:val="none" w:sz="0" w:space="0" w:color="auto"/>
        <w:bottom w:val="none" w:sz="0" w:space="0" w:color="auto"/>
        <w:right w:val="none" w:sz="0" w:space="0" w:color="auto"/>
      </w:divBdr>
    </w:div>
    <w:div w:id="1714770252">
      <w:bodyDiv w:val="1"/>
      <w:marLeft w:val="0"/>
      <w:marRight w:val="0"/>
      <w:marTop w:val="0"/>
      <w:marBottom w:val="0"/>
      <w:divBdr>
        <w:top w:val="none" w:sz="0" w:space="0" w:color="auto"/>
        <w:left w:val="none" w:sz="0" w:space="0" w:color="auto"/>
        <w:bottom w:val="none" w:sz="0" w:space="0" w:color="auto"/>
        <w:right w:val="none" w:sz="0" w:space="0" w:color="auto"/>
      </w:divBdr>
    </w:div>
    <w:div w:id="1720978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52">
          <w:marLeft w:val="0"/>
          <w:marRight w:val="0"/>
          <w:marTop w:val="0"/>
          <w:marBottom w:val="0"/>
          <w:divBdr>
            <w:top w:val="none" w:sz="0" w:space="0" w:color="auto"/>
            <w:left w:val="none" w:sz="0" w:space="0" w:color="auto"/>
            <w:bottom w:val="none" w:sz="0" w:space="0" w:color="auto"/>
            <w:right w:val="none" w:sz="0" w:space="0" w:color="auto"/>
          </w:divBdr>
          <w:divsChild>
            <w:div w:id="919096184">
              <w:marLeft w:val="0"/>
              <w:marRight w:val="0"/>
              <w:marTop w:val="0"/>
              <w:marBottom w:val="0"/>
              <w:divBdr>
                <w:top w:val="single" w:sz="18" w:space="5" w:color="455560"/>
                <w:left w:val="single" w:sz="18" w:space="5" w:color="455560"/>
                <w:bottom w:val="single" w:sz="18" w:space="5" w:color="455560"/>
                <w:right w:val="single" w:sz="18" w:space="5" w:color="455560"/>
              </w:divBdr>
              <w:divsChild>
                <w:div w:id="1481268589">
                  <w:marLeft w:val="168"/>
                  <w:marRight w:val="168"/>
                  <w:marTop w:val="0"/>
                  <w:marBottom w:val="0"/>
                  <w:divBdr>
                    <w:top w:val="single" w:sz="6" w:space="0" w:color="D0D4D7"/>
                    <w:left w:val="single" w:sz="6" w:space="0" w:color="D0D4D7"/>
                    <w:bottom w:val="single" w:sz="6" w:space="0" w:color="D0D4D7"/>
                    <w:right w:val="single" w:sz="6" w:space="0" w:color="D0D4D7"/>
                  </w:divBdr>
                  <w:divsChild>
                    <w:div w:id="1706904704">
                      <w:marLeft w:val="0"/>
                      <w:marRight w:val="0"/>
                      <w:marTop w:val="0"/>
                      <w:marBottom w:val="0"/>
                      <w:divBdr>
                        <w:top w:val="none" w:sz="0" w:space="0" w:color="auto"/>
                        <w:left w:val="none" w:sz="0" w:space="0" w:color="auto"/>
                        <w:bottom w:val="single" w:sz="6" w:space="3" w:color="D0D4D7"/>
                        <w:right w:val="none" w:sz="0" w:space="0" w:color="auto"/>
                      </w:divBdr>
                      <w:divsChild>
                        <w:div w:id="156305705">
                          <w:marLeft w:val="0"/>
                          <w:marRight w:val="0"/>
                          <w:marTop w:val="54"/>
                          <w:marBottom w:val="0"/>
                          <w:divBdr>
                            <w:top w:val="single" w:sz="6" w:space="2" w:color="6A7780"/>
                            <w:left w:val="single" w:sz="6" w:space="4" w:color="6A7780"/>
                            <w:bottom w:val="single" w:sz="6" w:space="2" w:color="6A7780"/>
                            <w:right w:val="single" w:sz="6" w:space="4" w:color="6A7780"/>
                          </w:divBdr>
                        </w:div>
                      </w:divsChild>
                    </w:div>
                  </w:divsChild>
                </w:div>
              </w:divsChild>
            </w:div>
          </w:divsChild>
        </w:div>
      </w:divsChild>
    </w:div>
    <w:div w:id="1810854359">
      <w:bodyDiv w:val="1"/>
      <w:marLeft w:val="0"/>
      <w:marRight w:val="0"/>
      <w:marTop w:val="0"/>
      <w:marBottom w:val="0"/>
      <w:divBdr>
        <w:top w:val="none" w:sz="0" w:space="0" w:color="auto"/>
        <w:left w:val="none" w:sz="0" w:space="0" w:color="auto"/>
        <w:bottom w:val="none" w:sz="0" w:space="0" w:color="auto"/>
        <w:right w:val="none" w:sz="0" w:space="0" w:color="auto"/>
      </w:divBdr>
    </w:div>
    <w:div w:id="2000570589">
      <w:bodyDiv w:val="1"/>
      <w:marLeft w:val="0"/>
      <w:marRight w:val="0"/>
      <w:marTop w:val="0"/>
      <w:marBottom w:val="0"/>
      <w:divBdr>
        <w:top w:val="none" w:sz="0" w:space="0" w:color="auto"/>
        <w:left w:val="none" w:sz="0" w:space="0" w:color="auto"/>
        <w:bottom w:val="none" w:sz="0" w:space="0" w:color="auto"/>
        <w:right w:val="none" w:sz="0" w:space="0" w:color="auto"/>
      </w:divBdr>
      <w:divsChild>
        <w:div w:id="342513463">
          <w:marLeft w:val="0"/>
          <w:marRight w:val="0"/>
          <w:marTop w:val="0"/>
          <w:marBottom w:val="0"/>
          <w:divBdr>
            <w:top w:val="none" w:sz="0" w:space="0" w:color="auto"/>
            <w:left w:val="none" w:sz="0" w:space="0" w:color="auto"/>
            <w:bottom w:val="none" w:sz="0" w:space="0" w:color="auto"/>
            <w:right w:val="none" w:sz="0" w:space="0" w:color="auto"/>
          </w:divBdr>
          <w:divsChild>
            <w:div w:id="1481313608">
              <w:marLeft w:val="0"/>
              <w:marRight w:val="0"/>
              <w:marTop w:val="0"/>
              <w:marBottom w:val="0"/>
              <w:divBdr>
                <w:top w:val="single" w:sz="12" w:space="5" w:color="455560"/>
                <w:left w:val="single" w:sz="12" w:space="5" w:color="455560"/>
                <w:bottom w:val="single" w:sz="12" w:space="5" w:color="455560"/>
                <w:right w:val="single" w:sz="12" w:space="5" w:color="455560"/>
              </w:divBdr>
              <w:divsChild>
                <w:div w:id="1760784901">
                  <w:marLeft w:val="168"/>
                  <w:marRight w:val="168"/>
                  <w:marTop w:val="0"/>
                  <w:marBottom w:val="0"/>
                  <w:divBdr>
                    <w:top w:val="single" w:sz="4" w:space="0" w:color="D0D4D7"/>
                    <w:left w:val="single" w:sz="4" w:space="0" w:color="D0D4D7"/>
                    <w:bottom w:val="single" w:sz="4" w:space="0" w:color="D0D4D7"/>
                    <w:right w:val="single" w:sz="4" w:space="0" w:color="D0D4D7"/>
                  </w:divBdr>
                  <w:divsChild>
                    <w:div w:id="1533492941">
                      <w:marLeft w:val="0"/>
                      <w:marRight w:val="0"/>
                      <w:marTop w:val="0"/>
                      <w:marBottom w:val="0"/>
                      <w:divBdr>
                        <w:top w:val="none" w:sz="0" w:space="0" w:color="auto"/>
                        <w:left w:val="none" w:sz="0" w:space="0" w:color="auto"/>
                        <w:bottom w:val="single" w:sz="4" w:space="2" w:color="D0D4D7"/>
                        <w:right w:val="none" w:sz="0" w:space="0" w:color="auto"/>
                      </w:divBdr>
                      <w:divsChild>
                        <w:div w:id="1380590210">
                          <w:marLeft w:val="0"/>
                          <w:marRight w:val="0"/>
                          <w:marTop w:val="46"/>
                          <w:marBottom w:val="0"/>
                          <w:divBdr>
                            <w:top w:val="single" w:sz="4" w:space="2" w:color="6A7780"/>
                            <w:left w:val="single" w:sz="4" w:space="3" w:color="6A7780"/>
                            <w:bottom w:val="single" w:sz="4" w:space="2" w:color="6A7780"/>
                            <w:right w:val="single" w:sz="4" w:space="3" w:color="6A7780"/>
                          </w:divBdr>
                        </w:div>
                      </w:divsChild>
                    </w:div>
                  </w:divsChild>
                </w:div>
              </w:divsChild>
            </w:div>
          </w:divsChild>
        </w:div>
      </w:divsChild>
    </w:div>
    <w:div w:id="211813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ll.libertyfund.org/titles/bagehot-lombard-street-a-description-of-the-money-market" TargetMode="External"/><Relationship Id="rId13" Type="http://schemas.openxmlformats.org/officeDocument/2006/relationships/hyperlink" Target="http://www.imf.org/en/News/Articles/2017/03/31/pr17108-IMF-Releases-Data-on-the-Currency-Composition-of-Foreign-Exchange-Reserv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f.org/en/News/Articles/2017/03/31/pr17108-IMF-Releases-Data-on-the-Currency-Composition-of-Foreign-Exchange-Reserves" TargetMode="External"/><Relationship Id="rId17" Type="http://schemas.openxmlformats.org/officeDocument/2006/relationships/hyperlink" Target="https://history.state.gov/historicaldocuments/frus1969-76v03/d131" TargetMode="External"/><Relationship Id="rId2" Type="http://schemas.openxmlformats.org/officeDocument/2006/relationships/numbering" Target="numbering.xml"/><Relationship Id="rId16" Type="http://schemas.openxmlformats.org/officeDocument/2006/relationships/hyperlink" Target="https://www.swift.com/node/1918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ips.ac.jp/r-center/wp-content/uploads/13-03.pdf" TargetMode="External"/><Relationship Id="rId5" Type="http://schemas.openxmlformats.org/officeDocument/2006/relationships/webSettings" Target="webSettings.xml"/><Relationship Id="rId15" Type="http://schemas.openxmlformats.org/officeDocument/2006/relationships/hyperlink" Target="https://franklinserrano.files.wordpress.com/2017/03/carol-mia-versc3a3o-final-dissertac3a7c3a3o-2017.pdf" TargetMode="External"/><Relationship Id="rId10" Type="http://schemas.openxmlformats.org/officeDocument/2006/relationships/hyperlink" Target="http://eprints.lse.ac.uk/3879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elsinki.fi/iehc2006/papers1/Carlos.pdf" TargetMode="External"/><Relationship Id="rId14" Type="http://schemas.openxmlformats.org/officeDocument/2006/relationships/hyperlink" Target="https://www.princeton.edu/~ies/IES_Essays/E61.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CADC0-F97D-4C18-B40D-12CB903D8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9013</Words>
  <Characters>48672</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Ernani Torres</dc:creator>
  <cp:lastModifiedBy>Ernani Torres</cp:lastModifiedBy>
  <cp:revision>5</cp:revision>
  <cp:lastPrinted>2017-10-25T22:32:00Z</cp:lastPrinted>
  <dcterms:created xsi:type="dcterms:W3CDTF">2018-06-24T23:32:00Z</dcterms:created>
  <dcterms:modified xsi:type="dcterms:W3CDTF">2018-06-25T17:26:00Z</dcterms:modified>
</cp:coreProperties>
</file>