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6081" w14:textId="30AAF3EE" w:rsidR="00161BFD" w:rsidRDefault="008312F6" w:rsidP="00161BFD">
      <w:pPr>
        <w:jc w:val="both"/>
        <w:rPr>
          <w:rFonts w:asciiTheme="majorHAnsi" w:hAnsiTheme="majorHAnsi" w:cstheme="majorHAnsi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 w:rsidRPr="007B72BD">
        <w:rPr>
          <w:rFonts w:asciiTheme="majorHAnsi" w:hAnsiTheme="majorHAnsi" w:cstheme="majorHAnsi"/>
          <w:sz w:val="32"/>
          <w:szCs w:val="32"/>
        </w:rPr>
        <w:br/>
      </w:r>
    </w:p>
    <w:p w14:paraId="4CA8F685" w14:textId="77777777" w:rsidR="00161BFD" w:rsidRPr="00161BFD" w:rsidRDefault="00161BFD" w:rsidP="00161BF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61BFD">
        <w:rPr>
          <w:rFonts w:asciiTheme="majorHAnsi" w:hAnsiTheme="majorHAnsi" w:cstheme="majorHAnsi"/>
          <w:b/>
          <w:bCs/>
          <w:sz w:val="32"/>
          <w:szCs w:val="32"/>
        </w:rPr>
        <w:t>HISTÓRIA (São Paulo, online)</w:t>
      </w:r>
    </w:p>
    <w:p w14:paraId="136A2EBF" w14:textId="01F1B49F" w:rsidR="00161BFD" w:rsidRPr="00161BFD" w:rsidRDefault="00161BFD" w:rsidP="00161BF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61BFD">
        <w:rPr>
          <w:rFonts w:asciiTheme="majorHAnsi" w:hAnsiTheme="majorHAnsi" w:cstheme="majorHAnsi"/>
          <w:sz w:val="32"/>
          <w:szCs w:val="32"/>
        </w:rPr>
        <w:t>Formulário sobre Conformidade com a Ciência</w:t>
      </w:r>
      <w:r w:rsidRPr="00161BFD">
        <w:rPr>
          <w:rFonts w:asciiTheme="majorHAnsi" w:hAnsiTheme="majorHAnsi" w:cstheme="majorHAnsi"/>
          <w:sz w:val="32"/>
          <w:szCs w:val="32"/>
        </w:rPr>
        <w:t xml:space="preserve"> Aberta</w:t>
      </w:r>
    </w:p>
    <w:p w14:paraId="5BBB1649" w14:textId="77777777" w:rsidR="00161BFD" w:rsidRDefault="00161BFD" w:rsidP="00161BF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E968E2F" w14:textId="6F35C74F" w:rsidR="00161BFD" w:rsidRPr="00161BFD" w:rsidRDefault="00161BFD" w:rsidP="00161BFD">
      <w:pPr>
        <w:jc w:val="both"/>
        <w:rPr>
          <w:rFonts w:asciiTheme="majorHAnsi" w:hAnsiTheme="majorHAnsi" w:cstheme="majorHAnsi"/>
        </w:rPr>
      </w:pPr>
      <w:r w:rsidRPr="00161BFD">
        <w:rPr>
          <w:rFonts w:asciiTheme="majorHAnsi" w:hAnsiTheme="majorHAnsi" w:cstheme="majorHAnsi"/>
          <w:b/>
          <w:bCs/>
        </w:rPr>
        <w:t>Título do manuscrito</w:t>
      </w:r>
      <w:r>
        <w:rPr>
          <w:rFonts w:asciiTheme="majorHAnsi" w:hAnsiTheme="majorHAnsi" w:cstheme="majorHAnsi"/>
        </w:rPr>
        <w:t>: INSERIR_TÍTULO_CONFORME_CADASTRADO_NO_SISTEMA</w:t>
      </w:r>
    </w:p>
    <w:p w14:paraId="4B129F35" w14:textId="2B49E37D" w:rsidR="00DA4C6C" w:rsidRPr="00161BFD" w:rsidRDefault="00633DE1" w:rsidP="00161BF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161BFD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161BFD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161BFD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161BFD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161BFD">
            <w:pPr>
              <w:jc w:val="both"/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6B781DD2" w:rsidR="009A1F5C" w:rsidRDefault="000F7398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</w:t>
            </w:r>
            <w:r w:rsidR="00161BFD">
              <w:rPr>
                <w:rFonts w:asciiTheme="majorHAnsi" w:hAnsiTheme="majorHAnsi" w:cstheme="majorHAnsi"/>
              </w:rPr>
              <w:t xml:space="preserve"> </w:t>
            </w:r>
            <w:r w:rsidRPr="008312F6">
              <w:rPr>
                <w:rFonts w:asciiTheme="majorHAnsi" w:hAnsiTheme="majorHAnsi" w:cstheme="majorHAnsi"/>
              </w:rPr>
              <w:t>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161BF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161BFD">
            <w:pPr>
              <w:jc w:val="both"/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161BF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161BFD">
      <w:pPr>
        <w:pStyle w:val="Ttulo1"/>
        <w:jc w:val="both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lastRenderedPageBreak/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Default="0000530F" w:rsidP="00161BFD">
      <w:pPr>
        <w:jc w:val="both"/>
        <w:rPr>
          <w:rFonts w:asciiTheme="majorHAnsi" w:hAnsiTheme="majorHAnsi" w:cstheme="majorHAnsi"/>
        </w:rPr>
      </w:pPr>
    </w:p>
    <w:p w14:paraId="023B3820" w14:textId="32F9BCB3" w:rsidR="00161BFD" w:rsidRDefault="00161BFD" w:rsidP="00161BFD">
      <w:pPr>
        <w:jc w:val="right"/>
      </w:pPr>
      <w:r>
        <w:t>CIDADE, DIA</w:t>
      </w:r>
      <w:r>
        <w:t xml:space="preserve"> de </w:t>
      </w:r>
      <w:r>
        <w:t>MÊS de ANO</w:t>
      </w:r>
    </w:p>
    <w:p w14:paraId="34E4D9CD" w14:textId="77777777" w:rsidR="00161BFD" w:rsidRDefault="00161BFD" w:rsidP="00161BFD">
      <w:pPr>
        <w:jc w:val="right"/>
      </w:pPr>
    </w:p>
    <w:p w14:paraId="4A844D77" w14:textId="77777777" w:rsidR="00161BFD" w:rsidRDefault="00161BFD" w:rsidP="00161BFD">
      <w:pPr>
        <w:jc w:val="right"/>
      </w:pPr>
    </w:p>
    <w:p w14:paraId="509C9D5B" w14:textId="77777777" w:rsidR="00161BFD" w:rsidRDefault="00161BFD" w:rsidP="00161BFD">
      <w:pPr>
        <w:jc w:val="right"/>
      </w:pPr>
    </w:p>
    <w:p w14:paraId="234D7EB5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6F02A6A4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NOME_AUTOR_1</w:t>
      </w:r>
    </w:p>
    <w:p w14:paraId="53BFC6F5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7F4075B3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66F045EB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2AB725CF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NOME_AUTOR_2</w:t>
      </w:r>
    </w:p>
    <w:p w14:paraId="4F323D15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555E2206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174C2064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5E83587E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NOME_AUTOR_3</w:t>
      </w:r>
    </w:p>
    <w:p w14:paraId="6FE6D481" w14:textId="77777777" w:rsidR="00161BFD" w:rsidRPr="008312F6" w:rsidRDefault="00161BFD" w:rsidP="00161BFD">
      <w:pPr>
        <w:tabs>
          <w:tab w:val="left" w:pos="757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6CDDA43" w14:textId="77777777" w:rsidR="00161BFD" w:rsidRPr="008312F6" w:rsidRDefault="00161BFD" w:rsidP="00161BFD">
      <w:pPr>
        <w:jc w:val="both"/>
        <w:rPr>
          <w:rFonts w:asciiTheme="majorHAnsi" w:hAnsiTheme="majorHAnsi" w:cstheme="majorHAnsi"/>
        </w:rPr>
      </w:pPr>
    </w:p>
    <w:sectPr w:rsidR="00161BFD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E9CEF" w14:textId="77777777" w:rsidR="005F1F76" w:rsidRDefault="005F1F76" w:rsidP="008312F6">
      <w:pPr>
        <w:spacing w:after="0" w:line="240" w:lineRule="auto"/>
      </w:pPr>
      <w:r>
        <w:separator/>
      </w:r>
    </w:p>
  </w:endnote>
  <w:endnote w:type="continuationSeparator" w:id="0">
    <w:p w14:paraId="7F48F964" w14:textId="77777777" w:rsidR="005F1F76" w:rsidRDefault="005F1F76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A75FC" w14:textId="77777777" w:rsidR="005F1F76" w:rsidRDefault="005F1F76" w:rsidP="008312F6">
      <w:pPr>
        <w:spacing w:after="0" w:line="240" w:lineRule="auto"/>
      </w:pPr>
      <w:r>
        <w:separator/>
      </w:r>
    </w:p>
  </w:footnote>
  <w:footnote w:type="continuationSeparator" w:id="0">
    <w:p w14:paraId="247496F3" w14:textId="77777777" w:rsidR="005F1F76" w:rsidRDefault="005F1F76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76156">
    <w:abstractNumId w:val="0"/>
  </w:num>
  <w:num w:numId="2" w16cid:durableId="74438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61BFD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1398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Karina Anhezini</cp:lastModifiedBy>
  <cp:revision>2</cp:revision>
  <dcterms:created xsi:type="dcterms:W3CDTF">2024-11-18T20:31:00Z</dcterms:created>
  <dcterms:modified xsi:type="dcterms:W3CDTF">2024-11-18T20:31:00Z</dcterms:modified>
</cp:coreProperties>
</file>